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40" w:line="36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N</w:t>
      </w:r>
      <w:r w:rsidDel="00000000" w:rsidR="00000000" w:rsidRPr="00000000">
        <w:rPr>
          <w:b w:val="1"/>
          <w:bCs w:val="1"/>
          <w:sz w:val="14"/>
          <w:szCs w:val="14"/>
          <w:u w:val="single"/>
          <w:vertAlign w:val="superscript"/>
          <w:rtl w:val="0"/>
        </w:rPr>
        <w:t xml:space="preserve">ª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08 - PCSDPE,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DE 12 DE AGOSTO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40" w:line="360" w:lineRule="auto"/>
        <w:ind w:right="5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3">
      <w:pPr>
        <w:spacing w:after="40" w:before="40" w:line="360" w:lineRule="auto"/>
        <w:ind w:left="340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Abre prazo para habilitação das entidades da Sociedade Civil que farão parte do colégio eleitoral responsável pela formação da lista tríplice ao cargo de Ouvidor(a)-Geral da Defensoria Pública do Estado do Maranhão.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before="40"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  <w:t xml:space="preserve">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PRESIDENTE DO CONSELHO SUPERIOR DA DEFENSORIA PÚBLICA DO ESTADO DO MARANHÃO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no uso de suas atribuições legais e institucionais, com fulcro no art. 105-B da Lei Complementar nº 80/94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FAZ SABER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 todos quantos do presente edital virem, ou dele tomarem conhecimento, que as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entidades da Sociedade Civil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que desejarem se habilitar para integrar o colégio eleitoral responsável pela formação da lista tríplice, que possibilitará a escolha, pelo Conselho Superior da DPE/MA, do(a) Ouvidor(a)-Geral da Defensoria Pública do Estado do Maranhão,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deverão apresentar requerimento de registro de habilitação no período de 12 a 19 de agosto de 2026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40" w:before="40"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before="40" w:line="360" w:lineRule="auto"/>
        <w:ind w:left="0" w:firstLine="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1. Os pedidos de habilitação deverão ser apresentados por meio do formulário eletrônico disponível no seguinte link: </w:t>
      </w:r>
      <w:hyperlink r:id="rId7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https://forms.gle/K2hEd2L5mgWEj15U9</w:t>
        </w:r>
      </w:hyperlink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, acompanhados dos documentos comprobatórios previstos na Resolução nº 16 - CSDPEMA, de 29 de julho de 2026, no prazo de habilitação.</w:t>
      </w:r>
    </w:p>
    <w:p w:rsidR="00000000" w:rsidDel="00000000" w:rsidP="00000000" w:rsidRDefault="00000000" w:rsidRPr="00000000" w14:paraId="00000008">
      <w:pPr>
        <w:spacing w:after="40" w:before="40" w:line="360" w:lineRule="auto"/>
        <w:ind w:left="0" w:firstLine="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before="40" w:line="36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2.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Para fins de satisfação da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atuação comprovada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da entidade, que dispõe o art. 3º, §1º, III, serão considerados, dentre outros documentos, certidões, registros de encontros, matérias jornalísticas, publicações em rede sociais, dentre outros meios que demonstrem atuação na promoção político-social, na defesa do interesse público e nas áreas de atuação institucional da Defensoria Pública, pelo período de dois anos.</w:t>
      </w:r>
    </w:p>
    <w:p w:rsidR="00000000" w:rsidDel="00000000" w:rsidP="00000000" w:rsidRDefault="00000000" w:rsidRPr="00000000" w14:paraId="0000000A">
      <w:pPr>
        <w:spacing w:after="40" w:before="40" w:line="36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before="40" w:line="36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3. A habilitação das entidades interessadas, bem como a escolha do(a) Ouvidor(a)-Geral da Defensoria Pública do Estado do Maranhão, será regida pela Lei Complementar Federal n.º 80/1994 e pela Resolução supracitada.</w:t>
      </w:r>
    </w:p>
    <w:p w:rsidR="00000000" w:rsidDel="00000000" w:rsidP="00000000" w:rsidRDefault="00000000" w:rsidRPr="00000000" w14:paraId="0000000C">
      <w:pPr>
        <w:spacing w:after="40" w:before="40" w:line="36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before="40" w:line="360" w:lineRule="auto"/>
        <w:ind w:left="0" w:firstLine="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4. Eventuais dúvidas ou questionamentos deverão ser direcionadas exclusivamente para o email </w:t>
      </w:r>
      <w:r w:rsidDel="00000000" w:rsidR="00000000" w:rsidRPr="00000000">
        <w:rPr>
          <w:color w:val="1f1f1f"/>
          <w:sz w:val="24"/>
          <w:szCs w:val="24"/>
          <w:highlight w:val="white"/>
          <w:rtl w:val="0"/>
        </w:rPr>
        <w:t xml:space="preserve">comissaoeleitoralouvidor@ma.def.br.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40" w:before="40" w:line="36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before="40" w:line="36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E, para que chegue ao conhecimento dos(as) interessados(as), mando expedir o presente edital, que vai por mim assinado e será publicado na Imprensa Oficial e no site da DPE/MA. Os prazos do certame serão contados em dias úteis. Dado e passado no Gabinete da Defensoria Pública-Geral do Estado do Maranhão, em São Luís, aos doze dias do mês de agosto do ano de dois mil e seis. Eu, ________ (Aylla Camila de Oliveira Barros), Assessora da Primeira Subdefensoria Geral, o digitei, fiz imprimir e encaminhei para divulgação.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CRISTIANE MARQUES MENDES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Presidente do Conselho Superior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-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993" w:top="2127" w:left="1985" w:right="1134" w:header="720" w:footer="3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538135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538135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538135"/>
        <w:sz w:val="18"/>
        <w:szCs w:val="18"/>
        <w:u w:val="none"/>
        <w:shd w:fill="auto" w:val="clear"/>
        <w:vertAlign w:val="baseline"/>
        <w:rtl w:val="0"/>
      </w:rPr>
      <w:t xml:space="preserve"> Júnior Coimbra, S/N, Renascença II, São Luís/MA – CEP 65010-200</w:t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1185544</wp:posOffset>
              </wp:positionH>
              <wp:positionV relativeFrom="paragraph">
                <wp:posOffset>-5079</wp:posOffset>
              </wp:positionV>
              <wp:extent cx="6350" cy="12700"/>
              <wp:effectExtent b="0" l="0" r="0" t="0"/>
              <wp:wrapNone/>
              <wp:docPr id="1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3742020" y="3778740"/>
                        <a:ext cx="3207960" cy="252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54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1185544</wp:posOffset>
              </wp:positionH>
              <wp:positionV relativeFrom="paragraph">
                <wp:posOffset>-5079</wp:posOffset>
              </wp:positionV>
              <wp:extent cx="6350" cy="12700"/>
              <wp:effectExtent b="0" l="0" r="0" t="0"/>
              <wp:wrapNone/>
              <wp:docPr id="1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538135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538135"/>
        <w:sz w:val="18"/>
        <w:szCs w:val="18"/>
        <w:u w:val="none"/>
        <w:shd w:fill="auto" w:val="clear"/>
        <w:vertAlign w:val="baseline"/>
        <w:rtl w:val="0"/>
      </w:rPr>
      <w:t xml:space="preserve">defensoria.ma.def.br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jc w:val="center"/>
      <w:rPr>
        <w:rFonts w:ascii="Tahoma" w:cs="Tahoma" w:eastAsia="Tahoma" w:hAnsi="Tahoma"/>
        <w:b w:val="1"/>
        <w:bCs w:val="1"/>
        <w:color w:val="0066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1994534</wp:posOffset>
          </wp:positionH>
          <wp:positionV relativeFrom="paragraph">
            <wp:posOffset>-328929</wp:posOffset>
          </wp:positionV>
          <wp:extent cx="1590675" cy="1174898"/>
          <wp:effectExtent b="0" l="0" r="0" t="0"/>
          <wp:wrapNone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0675" cy="117489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jc w:val="center"/>
      <w:rPr>
        <w:rFonts w:ascii="Tahoma" w:cs="Tahoma" w:eastAsia="Tahoma" w:hAnsi="Tahoma"/>
        <w:b w:val="1"/>
        <w:bCs w:val="1"/>
        <w:color w:val="0066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jc w:val="center"/>
      <w:rPr/>
    </w:pPr>
    <w:r w:rsidDel="00000000" w:rsidR="00000000" w:rsidRPr="00000000">
      <w:rPr>
        <w:rFonts w:ascii="Tahoma" w:cs="Tahoma" w:eastAsia="Tahoma" w:hAnsi="Tahoma"/>
        <w:b w:val="1"/>
        <w:bCs w:val="1"/>
        <w:color w:val="006600"/>
        <w:rtl w:val="0"/>
      </w:rPr>
      <w:t xml:space="preserve">CONSELHO SUPERIOR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ind w:firstLine="3119"/>
      <w:jc w:val="both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2Char" w:customStyle="1">
    <w:name w:val="Título 2 Char"/>
    <w:basedOn w:val="Fontepargpadro"/>
    <w:link w:val="Ttulo2"/>
    <w:rsid w:val="00934EA3"/>
    <w:rPr>
      <w:rFonts w:ascii="Arial" w:cs="Times New Roman" w:eastAsia="Times New Roman" w:hAnsi="Arial"/>
      <w:b w:val="1"/>
      <w:color w:val="00000a"/>
      <w:sz w:val="32"/>
      <w:szCs w:val="20"/>
      <w:lang w:eastAsia="pt-BR"/>
    </w:rPr>
  </w:style>
  <w:style w:type="paragraph" w:styleId="Contedodoquadro" w:customStyle="1">
    <w:name w:val="Conteúdo do quadro"/>
    <w:basedOn w:val="Normal"/>
    <w:rsid w:val="00934EA3"/>
  </w:style>
  <w:style w:type="paragraph" w:styleId="Corpodetexto3">
    <w:name w:val="Body Text 3"/>
    <w:basedOn w:val="Normal"/>
    <w:link w:val="Corpodetexto3Char"/>
    <w:rsid w:val="00934EA3"/>
    <w:pPr>
      <w:widowControl w:val="0"/>
      <w:suppressAutoHyphens w:val="0"/>
      <w:spacing w:after="60" w:before="60" w:line="240" w:lineRule="auto"/>
      <w:jc w:val="both"/>
    </w:pPr>
    <w:rPr>
      <w:color w:val="000000"/>
      <w:sz w:val="24"/>
      <w:szCs w:val="25"/>
    </w:rPr>
  </w:style>
  <w:style w:type="character" w:styleId="Corpodetexto3Char" w:customStyle="1">
    <w:name w:val="Corpo de texto 3 Char"/>
    <w:basedOn w:val="Fontepargpadro"/>
    <w:link w:val="Corpodetexto3"/>
    <w:rsid w:val="00934EA3"/>
    <w:rPr>
      <w:rFonts w:ascii="Times New Roman" w:cs="Times New Roman" w:eastAsia="Times New Roman" w:hAnsi="Times New Roman"/>
      <w:color w:val="000000"/>
      <w:sz w:val="24"/>
      <w:szCs w:val="25"/>
      <w:lang w:eastAsia="pt-BR"/>
    </w:rPr>
  </w:style>
  <w:style w:type="paragraph" w:styleId="Recuodecorpodetexto">
    <w:name w:val="Body Text Indent"/>
    <w:basedOn w:val="Normal"/>
    <w:link w:val="RecuodecorpodetextoChar"/>
    <w:rsid w:val="00934EA3"/>
    <w:pPr>
      <w:widowControl w:val="0"/>
      <w:spacing w:after="120" w:line="240" w:lineRule="auto"/>
      <w:ind w:left="283"/>
    </w:pPr>
    <w:rPr>
      <w:color w:val="auto"/>
      <w:sz w:val="24"/>
      <w:szCs w:val="24"/>
    </w:rPr>
  </w:style>
  <w:style w:type="character" w:styleId="RecuodecorpodetextoChar" w:customStyle="1">
    <w:name w:val="Recuo de corpo de texto Char"/>
    <w:basedOn w:val="Fontepargpadro"/>
    <w:link w:val="Recuodecorpodetexto"/>
    <w:rsid w:val="00934EA3"/>
    <w:rPr>
      <w:rFonts w:ascii="Times New Roman" w:cs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34EA3"/>
    <w:pPr>
      <w:spacing w:after="0" w:line="240" w:lineRule="auto"/>
    </w:pPr>
    <w:rPr>
      <w:rFonts w:eastAsiaTheme="minorEastAsia"/>
      <w:lang w:eastAsia="pt-BR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Hyperlink">
    <w:name w:val="Hyperlink"/>
    <w:basedOn w:val="Fontepargpadro"/>
    <w:uiPriority w:val="99"/>
    <w:unhideWhenUsed w:val="1"/>
    <w:rsid w:val="00934EA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 w:val="1"/>
    <w:rsid w:val="00934EA3"/>
    <w:pPr>
      <w:suppressAutoHyphens w:val="0"/>
      <w:spacing w:after="100" w:afterAutospacing="1" w:before="100" w:beforeAutospacing="1" w:line="240" w:lineRule="auto"/>
    </w:pPr>
    <w:rPr>
      <w:color w:val="auto"/>
      <w:sz w:val="24"/>
      <w:szCs w:val="24"/>
    </w:rPr>
  </w:style>
  <w:style w:type="character" w:styleId="apple-tab-span" w:customStyle="1">
    <w:name w:val="apple-tab-span"/>
    <w:basedOn w:val="Fontepargpadro"/>
    <w:rsid w:val="00934EA3"/>
  </w:style>
  <w:style w:type="paragraph" w:styleId="Cabealho">
    <w:name w:val="header"/>
    <w:aliases w:val="encabezado"/>
    <w:basedOn w:val="Normal"/>
    <w:link w:val="CabealhoChar"/>
    <w:unhideWhenUsed w:val="1"/>
    <w:rsid w:val="00443F5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aliases w:val="encabezado Char"/>
    <w:basedOn w:val="Fontepargpadro"/>
    <w:link w:val="Cabealho"/>
    <w:rsid w:val="00443F5C"/>
    <w:rPr>
      <w:rFonts w:ascii="Times New Roman" w:cs="Times New Roman" w:eastAsia="Times New Roman" w:hAnsi="Times New Roman"/>
      <w:color w:val="00000a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 w:val="1"/>
    <w:rsid w:val="00443F5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43F5C"/>
    <w:rPr>
      <w:rFonts w:ascii="Times New Roman" w:cs="Times New Roman" w:eastAsia="Times New Roman" w:hAnsi="Times New Roman"/>
      <w:color w:val="00000a"/>
      <w:sz w:val="20"/>
      <w:szCs w:val="20"/>
      <w:lang w:eastAsia="pt-BR"/>
    </w:rPr>
  </w:style>
  <w:style w:type="paragraph" w:styleId="Textbody" w:customStyle="1">
    <w:name w:val="Text body"/>
    <w:basedOn w:val="Normal"/>
    <w:rsid w:val="00443F5C"/>
    <w:pPr>
      <w:suppressAutoHyphens w:val="0"/>
      <w:autoSpaceDN w:val="0"/>
      <w:spacing w:after="40" w:before="40" w:line="240" w:lineRule="auto"/>
      <w:jc w:val="both"/>
    </w:pPr>
    <w:rPr>
      <w:color w:val="auto"/>
      <w:w w:val="105"/>
      <w:kern w:val="3"/>
      <w:sz w:val="24"/>
      <w:lang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K2hEd2L5mgWEj15U9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hQkZg4prErJjY0LkrYfixtvk+Q==">CgMxLjA4AHIhMXJQMGctZUtGRDZZNGt3c0JtR1RfeDF6ZlpoaWlYNW44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2026-08-12T13:15:00Z</dcterms:created>
  <dc:creator>Defensoria</dc:creator>
</cp:coreProperties>
</file>