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04/2022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II PROCESSO SELETIVO UNIFICADO PARA ESTÁGIO DE GRADUAÇÃO DA DEFENSORIA PÚBLICA DO ESTADO DO MARANHÃO 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DEFENSOR PÚBLICO GERAL DO ESTADO DO MARANHÃO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, no uso de suas atribuições legais, e considerando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I PROCESSO SELETIVO UNIFICADO PARA ESTÁGIO DE GRADUAÇÃO DA DEFENSORIA PÚBLICA DO ESTADO DO MARANHÃO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, resolve: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1º-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DIVULGAR o GABARITO DEFINITIVO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II PROCESSO SELETIVO UNIFICADO PARA ESTÁGIO DE GRADUAÇÃO DA DEFENSORIA PÚBLICA DO ESTADO DO MARANHÃO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, conforme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do edital.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2º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DIVULGAR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os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RECURSOS DEFERIDOS/INDEFERIDOS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, conforme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II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do presente edital.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3º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DIVULGAR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o espelho da prova dissertativa, conforme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do presente edital. 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4º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DIVULGAR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RESULTADO PRELIMINAR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da prova dissertativa, conforme listas anexas. 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5º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INFORMAR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que os recursos em face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RESULTADO DA PROVA DISSERTATIVA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deverão ser interpostos eletronicamente, nos dias 30/05/2022 e 31/05/2022,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unicamente através do formulário acessível no endereço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u w:val="single"/>
            <w:rtl w:val="0"/>
          </w:rPr>
          <w:t xml:space="preserve">https://forms.gle/2YckVLofcdSo1YRYA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conforme Edital de Abertura. 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1319" w:right="47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right="47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Parágrafo primeiro. Não serão aceitos recursos encaminhados por qualquer outra forma, devendo ser digitados e fundamentados em argumentação lógica e consistente.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1319" w:right="47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ind w:left="0" w:right="477" w:firstLine="0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Parágrafo segundo. Recursos não fundamentados ou interpostos fora do prazo serão indeferidos.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6º - O presente Edital será PUBLICADO no site da DPE/MA.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right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São Luís, 30 de maio de 2022.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ALBERTO PESSOA BASTOS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Defensor Público-Geral do Estado do Maranhão 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8.0" w:type="dxa"/>
        <w:jc w:val="left"/>
        <w:tblInd w:w="117.0" w:type="dxa"/>
        <w:tblLayout w:type="fixed"/>
        <w:tblLook w:val="0000"/>
      </w:tblPr>
      <w:tblGrid>
        <w:gridCol w:w="10208"/>
        <w:tblGridChange w:id="0">
          <w:tblGrid>
            <w:gridCol w:w="10208"/>
          </w:tblGrid>
        </w:tblGridChange>
      </w:tblGrid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bookmarkStart w:colFirst="0" w:colLast="0" w:name="kix.z69fq2vs0t2m" w:id="0"/>
          <w:bookmarkEnd w:id="0"/>
          <w:p w:rsidR="00000000" w:rsidDel="00000000" w:rsidP="00000000" w:rsidRDefault="00000000" w:rsidRPr="00000000" w14:paraId="0000002E">
            <w:pPr>
              <w:widowControl w:val="0"/>
              <w:spacing w:before="36" w:line="163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Prova - Direito (Graduação)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1"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Sobre Direito do Consumidor, analise os itens a seguir: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tabs>
                <w:tab w:val="left" w:pos="172"/>
              </w:tabs>
              <w:spacing w:before="14" w:line="240" w:lineRule="auto"/>
              <w:ind w:left="171" w:hanging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operadora do plano de saúde tem o dever de custear as despesas de acompanhante de paciente idoso em caso de internação hospitalar.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spacing w:before="14" w:line="259" w:lineRule="auto"/>
              <w:ind w:left="54" w:right="1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recusa à cobertura médica somente enseja a reparação a título de dano moral caso reste comprovado pelo segurado o agravamento da condição de saúde.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spacing w:line="160" w:lineRule="auto"/>
              <w:ind w:left="248" w:hanging="19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abusiva a negativa de custeio, pela operadora do plano de saúde, em casos de tratamento de fertilização in vitro, ainda que não exista previsão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contratual expressa.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Somente os itens I e III estão corretos.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Somente o item I está correto.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Todos os itens estão corretos.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Somente o item II está correto.</w:t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6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1"/>
            <w:gridCol w:w="486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possível afirmar que a norma infraconstitucional anterior à Constituição vigente e com ela materialmente compatível: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 acordo com o princípio do tempus regit actum, será recepcionada pela constituição mas com eficácia contida, como foi o caso do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Código Tributário Nacional.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Não será recepcionada pela constituição atual e deve ser declarada inconstitucional.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E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Será considerada constitucional e deve ser considerada recepcionada pela nova ordem, independentemente de compatibilidade formal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com a Constituição vigente.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Será recepcionada pelo novo texto constitucional e será plenamente eficaz, independentemente de compatibilidade formal com a</w:t>
            </w:r>
          </w:p>
          <w:p w:rsidR="00000000" w:rsidDel="00000000" w:rsidP="00000000" w:rsidRDefault="00000000" w:rsidRPr="00000000" w14:paraId="000000B5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Constituição anterior, tendo em vista a possibilidade de “constitucionalidade superveniente” admitida no direito brasileiro.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before="3" w:line="259" w:lineRule="auto"/>
              <w:ind w:left="54" w:right="36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Wesley foi acusado de ter praticado o crime de roubo em razão de ter subtraído mediante ameaça com o uso de uma arma de brinquedo o celular da vítima Catarina. Na Delegacia, o policial condutor da prisão apresentou a foto de Wesley registrada em seu celular para a vítima, a qual confirmou prontamente ter sido ele o autor do crime. Wesley nega a autoria do crime, afirmando estar trabalhando em outra localidade no momento dos fatos.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Considerando a situação apresentada e a jurisprudência dominante, aponte qual o enunciado correto.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No crime de roubo, a intimidação feita com arma de brinquedo autoriza o aumento da pena.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crime em comento deve ser desclassificado para furto, uma vez que a ameaça perpetrada com uso de arma de brinquedo não pode ser</w:t>
            </w:r>
          </w:p>
          <w:p w:rsidR="00000000" w:rsidDel="00000000" w:rsidP="00000000" w:rsidRDefault="00000000" w:rsidRPr="00000000" w14:paraId="000000E9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considerada ‘grave ameaça’, elementar do ilícito do art. 157.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A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before="3" w:line="259" w:lineRule="auto"/>
              <w:ind w:left="54" w:right="5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reconhecimento de pessoa, presencialmente ou por fotografia, realizado na fase do inquérito policial, apenas é apto, para identificar o réu e fixar a autoria delitiva, quando observadas as formalidades previstas no art. 226 do Código de Processo Penal e quando corroborado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por outras provas colhidas na fase judicial, sob o crivo do contraditório e da ampla defesa.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Quando houver necessidade de fazer-se o reconhecimento de pessoa, a pessoa, cujo reconhecimento se pretender, será colocada ao</w:t>
            </w:r>
          </w:p>
          <w:p w:rsidR="00000000" w:rsidDel="00000000" w:rsidP="00000000" w:rsidRDefault="00000000" w:rsidRPr="00000000" w14:paraId="00000111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lado de outras sem qualquer critério de preferência, convidando-se quem tiver de fazer o reconhecimento a apontá-la.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Mário, argentino, e Mariana, brasileira, procuram a Defensoria Pública e informam que desejam se divorciar. Casados em regime de comunhão de bens,</w:t>
            </w:r>
          </w:p>
          <w:p w:rsidR="00000000" w:rsidDel="00000000" w:rsidP="00000000" w:rsidRDefault="00000000" w:rsidRPr="00000000" w14:paraId="0000012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não possuem filhos e juntos adquiriram um apartamento localizado em São Luís/MA e uma moto. A orientação jurídica a ser prestada no caso deve ser: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competente o foro para a ação de divórcio, separação, anulação de casamento e reconhecimento ou dissolução de união estável no</w:t>
            </w:r>
          </w:p>
          <w:p w:rsidR="00000000" w:rsidDel="00000000" w:rsidP="00000000" w:rsidRDefault="00000000" w:rsidRPr="00000000" w14:paraId="0000013B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domicílio da mulher.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Nenhuma das assertivas anteriores.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que haja a homologação do divórcio ou separação consensual, deverá igualmente haver acordo sobre a partilha de bens, pois, caso</w:t>
            </w:r>
          </w:p>
          <w:p w:rsidR="00000000" w:rsidDel="00000000" w:rsidP="00000000" w:rsidRDefault="00000000" w:rsidRPr="00000000" w14:paraId="00000159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contrário, a ação de divórcio deverá ser judicializada.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6A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6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Compete à autoridade judiciária brasileira, com exclusão de qualquer outra, em divórcio, proceder à partilha de bens situados no Brasil,</w:t>
            </w:r>
          </w:p>
          <w:p w:rsidR="00000000" w:rsidDel="00000000" w:rsidP="00000000" w:rsidRDefault="00000000" w:rsidRPr="00000000" w14:paraId="0000016D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ainda que o titular seja de nacionalidade estrangeira ou tenha domicílio fora do território nacional.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6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1"/>
            <w:gridCol w:w="486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No que concerne à tutela provisória e ao mandado de segurança, assinale a alternativa 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3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4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tutela provisória requerida em caráter incidental independe do pagamento de custas.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Conforme a jurisprudência do STJ e a legislação pertinente, mandado de segurança pode ser impetrado contra ato de gestão comercial</w:t>
            </w:r>
          </w:p>
          <w:p w:rsidR="00000000" w:rsidDel="00000000" w:rsidP="00000000" w:rsidRDefault="00000000" w:rsidRPr="00000000" w14:paraId="000001A0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praticado por administrador de empresa pública.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vedado ao juiz conceder tutela provisória de urgência contra uma das partes sem que ela seja previamente ouvida.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teoria da encampação não pode ser aplicada no âmbito do mandado de segurança quando presentes, ainda que exista manifestação a</w:t>
            </w:r>
          </w:p>
          <w:p w:rsidR="00000000" w:rsidDel="00000000" w:rsidP="00000000" w:rsidRDefault="00000000" w:rsidRPr="00000000" w14:paraId="000001B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respeito do mérito nas informações prestadas.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117.0" w:type="dxa"/>
        <w:tblLayout w:type="fixed"/>
        <w:tblLook w:val="0000"/>
      </w:tblPr>
      <w:tblGrid>
        <w:gridCol w:w="485"/>
        <w:gridCol w:w="1459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1459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widowControl w:val="0"/>
        <w:spacing w:after="56" w:line="20" w:lineRule="auto"/>
        <w:ind w:left="101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19.0" w:type="dxa"/>
        <w:jc w:val="left"/>
        <w:tblInd w:w="605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before="5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princípio da independência funcional assegura que os membros da Defensoria Pública: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devem observar obrigatoriamente a Constituição Federal, inexistindo obrigatoriedade de observância das leis ordinárias e decretos em sua</w:t>
            </w:r>
          </w:p>
          <w:p w:rsidR="00000000" w:rsidDel="00000000" w:rsidP="00000000" w:rsidRDefault="00000000" w:rsidRPr="00000000" w14:paraId="000001D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atuação;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E2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E3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são livres para o exercício de suas funções, não estando sujeitos a interferências de quaisquer órgãos internos ou externos.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podem propor a criação e extinção dos seus cargos;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podem atuar de acordo com sua livre consciência, não devendo ser responsabilizados pelo exercício irregular de suas funções;</w:t>
            </w:r>
          </w:p>
        </w:tc>
      </w:tr>
    </w:tbl>
    <w:p w:rsidR="00000000" w:rsidDel="00000000" w:rsidP="00000000" w:rsidRDefault="00000000" w:rsidRPr="00000000" w14:paraId="000001EB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spacing w:before="3" w:line="259" w:lineRule="auto"/>
              <w:ind w:left="54" w:right="245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núcleo de Defesa do Consumidor da DPE/MA recebeu a denúncia que uma empresa local veiculou publicidade enganosa que continha informação parcialmente falsa, causando com isso danos a centenas de consumidores que adquiriram o produto objeto da referida publicidade. Acerca da situação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hipotética narrada e à luz da jurisprudência do STF e do STJ, assinale a alternativa correta: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caso narrado está relacionado à violação de direitos individuais homogêneos, que se caracterizam pela transindividualidade,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indivisibilidade e indeterminação de titularidade.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16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17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Defensoria Pública detém legitimidade ativa para ajuizar ação civil pública para a tutela de direitos individuais homogêneos por ser</w:t>
            </w:r>
          </w:p>
          <w:p w:rsidR="00000000" w:rsidDel="00000000" w:rsidP="00000000" w:rsidRDefault="00000000" w:rsidRPr="00000000" w14:paraId="00000219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instituição essencial à função jurisdicional e ao acesso à justiça.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competência para ajuizar ação civil pública na defesa de direitos individuais homogêneos é exclusiva do Ministério Público, devendo a</w:t>
            </w:r>
          </w:p>
          <w:p w:rsidR="00000000" w:rsidDel="00000000" w:rsidP="00000000" w:rsidRDefault="00000000" w:rsidRPr="00000000" w14:paraId="0000022D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denúncia ser encaminhada à promotoria competente.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Defensoria Pública tem legitimidade para propor ação civil pública em defesa de interesses individuais homogêneos, desde que os</w:t>
            </w:r>
          </w:p>
          <w:p w:rsidR="00000000" w:rsidDel="00000000" w:rsidP="00000000" w:rsidRDefault="00000000" w:rsidRPr="00000000" w14:paraId="00000241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atingidos sejam carentes de recursos econômicos.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6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1"/>
            <w:gridCol w:w="486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Sobre a classificação das constituições, é correto afirmar que: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o alemão Carl Schmitt , "Constituição" seria a somatória dos fatores reais de poder dentro de uma sociedade, enquanto reflexo do</w:t>
            </w:r>
          </w:p>
          <w:p w:rsidR="00000000" w:rsidDel="00000000" w:rsidP="00000000" w:rsidRDefault="00000000" w:rsidRPr="00000000" w14:paraId="0000026A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embate das forças econômicas, sociais, políticas e religiosas de um Estado.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Peter Häberle define "Constituição" como sendo uma decisão política fundamental, cuja finalidade precípua é organizar e estruturar os</w:t>
            </w:r>
          </w:p>
          <w:p w:rsidR="00000000" w:rsidDel="00000000" w:rsidP="00000000" w:rsidRDefault="00000000" w:rsidRPr="00000000" w14:paraId="0000027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elementos essenciais do Estado.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8F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9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Karl Loewenstein classifica as Constituições, quanto à essência, em Normativas, Nominais e Semânticas.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Ferdinand Lassalle define a Constituição como norma positiva suprema, dentro de um sistema escalonado e hierarquizado de normas, em</w:t>
            </w:r>
          </w:p>
          <w:p w:rsidR="00000000" w:rsidDel="00000000" w:rsidP="00000000" w:rsidRDefault="00000000" w:rsidRPr="00000000" w14:paraId="0000029C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que aquela serve de fundamento de validade para todas as demais.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C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widowControl w:val="0"/>
              <w:spacing w:before="7" w:line="151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widowControl w:val="0"/>
              <w:spacing w:before="7" w:line="151" w:lineRule="auto"/>
              <w:ind w:left="237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Manuela (10 anos) brincava de bola na área comum do condomínio edilício onde mora com seus pais, Andreia e Victor, quando o objeto atingiu a janela</w:t>
            </w:r>
          </w:p>
          <w:p w:rsidR="00000000" w:rsidDel="00000000" w:rsidP="00000000" w:rsidRDefault="00000000" w:rsidRPr="00000000" w14:paraId="000002B8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do salão de festas, danificando o vidro. De acordo com o Código Civil, assinale a única assertiva falsa: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Caberá reparação civil pelos danos causados por Manuela ao condomínio edilício.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indenização a ser paga medir-se-á pela extensão do dano.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Se houver excessiva desproporção entre a gravidade da culpa e o dano, poderá o juiz reduzir, eqüitativamente, a indenização.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DC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DD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Os prejuízos causados devem ser ressarcidos por Manuela, ainda que estivesse sob a autoridade e em companhia de Andreia e Victor.</w:t>
            </w:r>
          </w:p>
        </w:tc>
      </w:tr>
    </w:tbl>
    <w:p w:rsidR="00000000" w:rsidDel="00000000" w:rsidP="00000000" w:rsidRDefault="00000000" w:rsidRPr="00000000" w14:paraId="000002E4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spacing w:before="3" w:line="259" w:lineRule="auto"/>
              <w:ind w:left="54" w:right="16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Em razão de supostas denúncias anônimas que relatavam a ocorrência de tráfico na residência de Rosa, os policiais realizaram busca no imóvel tendo encontrado no quintal uma muda de maconha. De acordo com os depoimentos dos policiais, a entrada no domicílio teria sido autorizada por Rosa. Esta, por sua vez, afirma que estava dormindo no momento da entrada dos agentes. À luz do entendimento dos tribunais superiores sobre o tema, indique a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afirmativa incorreta.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widowControl w:val="0"/>
              <w:spacing w:before="3" w:line="259" w:lineRule="auto"/>
              <w:ind w:left="54" w:right="2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Supremo Tribunal Federal definiu, em repercussão geral (Tema 280), que o ingresso forçado em domicílio sem mandado judicial apenas se revela legítimo – a qualquer hora do dia, inclusive durante o período noturno – quando amparado em fundadas razões, devidamente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justificadas pelas circunstâncias do caso concreto, que indiquem estar ocorrendo, no interior da casa, situação de flagrante delito.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widowControl w:val="0"/>
              <w:spacing w:before="3" w:line="259" w:lineRule="auto"/>
              <w:ind w:left="54" w:right="213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prova da legalidade e da voluntariedade do consentimento para o ingresso na residência do suspeito incumbe, em caso de dúvida, ao Estado, e deve ser feita com declaração assinada pela pessoa que autorizou o ingresso domiciliar, indicando-se, sempre que possível,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testemunhas do ato. Em todo caso, a operação deve ser registrada em áudio-vídeo e preservada tal prova enquanto durar o processo.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widowControl w:val="0"/>
              <w:spacing w:before="3" w:line="259" w:lineRule="auto"/>
              <w:ind w:left="54" w:right="85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art. 5º, XI, da Constituição Federal consagrou o direito fundamental à inviolabilidade do domicílio, ao dispor que a casa é asilo inviolável do indivíduo, ninguém nela podendo penetrar sem consentimento do morador, salvo em caso de flagrante delito ou desastre, ou para</w:t>
            </w:r>
          </w:p>
          <w:p w:rsidR="00000000" w:rsidDel="00000000" w:rsidP="00000000" w:rsidRDefault="00000000" w:rsidRPr="00000000" w14:paraId="00000326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prestar socorro, ou, durante o dia, por determinação judicial.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37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3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tráfico ilícito de entorpecentes, por ser classificado como crime de natureza permanente, autoriza a entrada sem mandado no domicílio.</w:t>
            </w:r>
          </w:p>
        </w:tc>
      </w:tr>
    </w:tbl>
    <w:p w:rsidR="00000000" w:rsidDel="00000000" w:rsidP="00000000" w:rsidRDefault="00000000" w:rsidRPr="00000000" w14:paraId="00000340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Jonathan, 17 anos de idade, foi apreendido levando consigo, em sua mochila, 10 ‘buchas’ de maconha. Sobre a situação narrada, marque a alternativa</w:t>
            </w:r>
          </w:p>
          <w:p w:rsidR="00000000" w:rsidDel="00000000" w:rsidP="00000000" w:rsidRDefault="00000000" w:rsidRPr="00000000" w14:paraId="0000034D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ato infracional praticado por Jonathan é considerado hediondo, portanto, caso julgada procedente a ação, deverá iniciar o cumprimento</w:t>
            </w:r>
          </w:p>
          <w:p w:rsidR="00000000" w:rsidDel="00000000" w:rsidP="00000000" w:rsidRDefault="00000000" w:rsidRPr="00000000" w14:paraId="0000035A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da medida em regime fechado.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Considerando a gravidade da infração praticada, Jonathan poderá ser submetido a medida de internação.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75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76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medida eventualmente aplicada a Jonathan levará em conta a sua capacidade de cumpri-la, as circunstâncias e a gravidade da infração.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Jonathan deverá ser submetido à audiência de custódia em até 24h da data da sua apreensão.</w:t>
            </w:r>
          </w:p>
        </w:tc>
      </w:tr>
    </w:tbl>
    <w:p w:rsidR="00000000" w:rsidDel="00000000" w:rsidP="00000000" w:rsidRDefault="00000000" w:rsidRPr="00000000" w14:paraId="00000388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widowControl w:val="0"/>
              <w:spacing w:before="3" w:line="259" w:lineRule="auto"/>
              <w:ind w:left="54" w:right="347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Jorge, após assistir a entrevista de uma Defensora Pública sobre direito do consumidor, procurou a Defensoria para relatar o que segue: ao tentar matricular seu filho, Pablo, criança autista, em determinada escola privada de São Luís, a diretora informou que não havia professores especializados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acompanhá-lo durante as aulas. Desta forma, o pedido de matrícula foi negado. No caso hipotético, a orientação adequada é: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dever exclusivamente do Estado oferecer atendimento educacional especializado aos alunos com deficiência, de modo que não há</w:t>
            </w:r>
          </w:p>
          <w:p w:rsidR="00000000" w:rsidDel="00000000" w:rsidP="00000000" w:rsidRDefault="00000000" w:rsidRPr="00000000" w14:paraId="000003A2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obrigação da instituição privada aceitar a matrícula de Pablo.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escola privada não deve recusar a matrícula de Pablo pela ausência de professor/a capacitado, pois é responsabilidade dos pais</w:t>
            </w:r>
          </w:p>
          <w:p w:rsidR="00000000" w:rsidDel="00000000" w:rsidP="00000000" w:rsidRDefault="00000000" w:rsidRPr="00000000" w14:paraId="000003B6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garantir e custear o acompanhamento da criança por profissional da área.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Por se tratar de escola privada, o gestor possui liberdade para recusar a matrícula de qualquer interessado, levando em consideração os</w:t>
            </w:r>
          </w:p>
          <w:p w:rsidR="00000000" w:rsidDel="00000000" w:rsidP="00000000" w:rsidRDefault="00000000" w:rsidRPr="00000000" w14:paraId="000003CA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interesses do estabelecimento.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DB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D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As escolas privadas têm a obrigatoriedade de ofertar atendimento educacional adequado e inclusivo a?s pessoas com deficie?ncia, não</w:t>
            </w:r>
          </w:p>
          <w:p w:rsidR="00000000" w:rsidDel="00000000" w:rsidP="00000000" w:rsidRDefault="00000000" w:rsidRPr="00000000" w14:paraId="000003D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devendo recusar a matrícula de Pablo por ser autista.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E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anchor allowOverlap="1" behindDoc="0" distB="1905" distT="1905" distL="116205" distR="116205" hidden="0" layoutInCell="1" locked="0" relativeHeight="0" simplePos="0">
                <wp:simplePos x="0" y="0"/>
                <wp:positionH relativeFrom="page">
                  <wp:posOffset>7013575</wp:posOffset>
                </wp:positionH>
                <wp:positionV relativeFrom="page">
                  <wp:posOffset>9534525</wp:posOffset>
                </wp:positionV>
                <wp:extent cx="12700" cy="781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41300"/>
                          <a:ext cx="0" cy="77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" distT="1905" distL="116205" distR="116205" hidden="0" layoutInCell="1" locked="0" relativeHeight="0" simplePos="0">
                <wp:simplePos x="0" y="0"/>
                <wp:positionH relativeFrom="page">
                  <wp:posOffset>7013575</wp:posOffset>
                </wp:positionH>
                <wp:positionV relativeFrom="page">
                  <wp:posOffset>9534525</wp:posOffset>
                </wp:positionV>
                <wp:extent cx="12700" cy="78105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8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5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widowControl w:val="0"/>
              <w:spacing w:before="29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widowControl w:val="0"/>
              <w:spacing w:before="29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widowControl w:val="0"/>
              <w:spacing w:before="29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widowControl w:val="0"/>
              <w:spacing w:before="29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widowControl w:val="0"/>
              <w:spacing w:before="29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spacing w:before="29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widowControl w:val="0"/>
              <w:spacing w:before="29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Considerando o entendimento dos Tribunais Superiores, assinale a assertiva correta: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Com exceção da contravenção penal de vias de fato, as demais são perseguidas mediante ação penal pública incondicionada.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Nos crimes contra os idosos não se admite a aplicação da Lei 9.099/95.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14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15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prisão simples jamais será cumprida em regime fechado, nem mesmo por meio da regressão.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crime de injúria racial, por não ser racismo, não é imprescritível.</w:t>
            </w:r>
          </w:p>
        </w:tc>
      </w:tr>
    </w:tbl>
    <w:p w:rsidR="00000000" w:rsidDel="00000000" w:rsidP="00000000" w:rsidRDefault="00000000" w:rsidRPr="00000000" w14:paraId="00000425">
      <w:pPr>
        <w:widowControl w:val="0"/>
        <w:spacing w:after="1"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widowControl w:val="0"/>
              <w:spacing w:before="3" w:line="259" w:lineRule="auto"/>
              <w:ind w:left="54" w:right="21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Maria possui dois filhos com José. Pedro com dois anos e Samir com dezoito anos. Nenhuma das crianças possui o nome do pai no registro. Realizada sessão de conciliação na Defensoria Pública, José reconheceu apenas Pedro, tendo sido fixado alimentos em favor do infante no percentual de 15% (quinze por cento) do salário mínimo. Em relação a Samir, José solicitou a realização de exame de DNA. Sobre a situação mencionada, assinale a</w:t>
            </w:r>
          </w:p>
          <w:p w:rsidR="00000000" w:rsidDel="00000000" w:rsidP="00000000" w:rsidRDefault="00000000" w:rsidRPr="00000000" w14:paraId="00000432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alternativa incorreta.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Considerando a ausência de reconhecimento espontâneo em relação a Samir, pode ser ajuizada Ação de Reconhecimento de</w:t>
            </w:r>
          </w:p>
          <w:p w:rsidR="00000000" w:rsidDel="00000000" w:rsidP="00000000" w:rsidRDefault="00000000" w:rsidRPr="00000000" w14:paraId="0000043F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Paternidade em desfavor de José.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50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51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Os alimentos acordados em relação a Pedro somente poderão ser cobrados após a homologação do acordo pelo juízo competente.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reconhecimento espontâneo de paternidade realizado por José em relação a Pedro pode ser imediatamente encaminhado ao cartório</w:t>
            </w:r>
          </w:p>
          <w:p w:rsidR="00000000" w:rsidDel="00000000" w:rsidP="00000000" w:rsidRDefault="00000000" w:rsidRPr="00000000" w14:paraId="0000045D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que sejam realizadas as averbações necessárias.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Na ação de Reconhecimento de Paternidade, Samir será a parte autora, uma vez já ter atingido a maioridade.</w:t>
            </w:r>
          </w:p>
        </w:tc>
      </w:tr>
    </w:tbl>
    <w:p w:rsidR="00000000" w:rsidDel="00000000" w:rsidP="00000000" w:rsidRDefault="00000000" w:rsidRPr="00000000" w14:paraId="00000477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Jéssica, sem registros criminais anteriores, foi presa em flagrante em razão de ter subtraído duas cartelas de ovo do Supermercado Compre Bem. A</w:t>
            </w:r>
          </w:p>
          <w:p w:rsidR="00000000" w:rsidDel="00000000" w:rsidP="00000000" w:rsidRDefault="00000000" w:rsidRPr="00000000" w14:paraId="00000484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respeito da audiência de custódia e da prisão cautelar, marque a afirmativa incorreta.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apresentação de Jéssica à autoridade judicial competente deve acontecer em até 24 horas da comunicação do flagrante.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Antes da audiência de custódia, Jéssica tem o direito de ser atendida prévia e reservadamente por um defensor público, sem a presença</w:t>
            </w:r>
          </w:p>
          <w:p w:rsidR="00000000" w:rsidDel="00000000" w:rsidP="00000000" w:rsidRDefault="00000000" w:rsidRPr="00000000" w14:paraId="0000049B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 agentes policiais.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defesa de Jéssica poderá pleitear a concessão de liberdade provisória com fundamento na ausência de violência ou grave ameaça e</w:t>
            </w:r>
          </w:p>
          <w:p w:rsidR="00000000" w:rsidDel="00000000" w:rsidP="00000000" w:rsidRDefault="00000000" w:rsidRPr="00000000" w14:paraId="000004AF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inexistência de registros criminais.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C0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C1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Na audiência de custódia, Jéssica deverá ser ouvida sobre os fatos e as circunstâncias em que se realizou sua prisão ou apreensão.</w:t>
            </w:r>
          </w:p>
        </w:tc>
      </w:tr>
    </w:tbl>
    <w:p w:rsidR="00000000" w:rsidDel="00000000" w:rsidP="00000000" w:rsidRDefault="00000000" w:rsidRPr="00000000" w14:paraId="000004C9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widowControl w:val="0"/>
              <w:spacing w:before="3" w:line="259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Fátima, mulher trans, 19 anos, procurou a Defensoria Pública relatando que deseja alterar seu prenome e gênero em sua documentação. Contudo, ao chegar no Cartório, foi informada que deveria ajuizar uma ação de retificação de registro, pois a alteração extrajudicial somente pode ser realizada nos casos em que há comprovação da cirurgia de readequação sexual. Considerando as informações prestadas, marque a alternativa que indica a orientação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ser prestada para Maria: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Maria deve esperar até os 21 anos para solicitar judicialmente a retificação do seu registro.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EB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4E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cartório não pode negar a alteração da retificação extrajudicial de Maria, conforme provimento do CNJ. Cabe assim, oficiar o cartório</w:t>
            </w:r>
          </w:p>
          <w:p w:rsidR="00000000" w:rsidDel="00000000" w:rsidP="00000000" w:rsidRDefault="00000000" w:rsidRPr="00000000" w14:paraId="000004EE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solicitando esclarecimentos e, em caso de recusa, apresentar um Pedido de Providências 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Deve ser ajuizada a ação de alteração de registro, uma vez que Maria não realizou a cirurgia de readequação sexual.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cartório não pode negar a alteração da retificação extrajudicial, inclusive de menores de 18 (dezoito) anos.</w:t>
            </w:r>
          </w:p>
        </w:tc>
      </w:tr>
    </w:tbl>
    <w:p w:rsidR="00000000" w:rsidDel="00000000" w:rsidP="00000000" w:rsidRDefault="00000000" w:rsidRPr="00000000" w14:paraId="00000512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filho de Amanda, Paulo, faleceu em razão da pandemia de COVID-19. Em razão disso, a mesma pretende criar uma fundação em sua memória. A</w:t>
            </w:r>
          </w:p>
          <w:p w:rsidR="00000000" w:rsidDel="00000000" w:rsidP="00000000" w:rsidRDefault="00000000" w:rsidRPr="00000000" w14:paraId="0000051F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respeito das fundações, assinale a alternativa incorreta: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Se o estatuto não for elaborado no prazo assinado pelo instituidor, ou, não havendo prazo, em cento e oitenta dias, a incumbência caberá</w:t>
            </w:r>
          </w:p>
          <w:p w:rsidR="00000000" w:rsidDel="00000000" w:rsidP="00000000" w:rsidRDefault="00000000" w:rsidRPr="00000000" w14:paraId="0000052C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ao Ministério Público.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Amanda poderá constituir a fundação através da dotação especial de bens livres, especificando o fim a que se destina.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47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4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No momento da constituição da fundação, Amanda deverá obrigatoriamente declarar a maneira de administrá-la.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fundação constituída em memória de Paulo poderá ter como fim a assistência social.</w:t>
            </w:r>
          </w:p>
        </w:tc>
      </w:tr>
    </w:tbl>
    <w:p w:rsidR="00000000" w:rsidDel="00000000" w:rsidP="00000000" w:rsidRDefault="00000000" w:rsidRPr="00000000" w14:paraId="0000055A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widowControl w:val="0"/>
              <w:spacing w:before="3" w:line="259" w:lineRule="auto"/>
              <w:ind w:left="54" w:right="17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Lucas, pai de Lara (5 anos) e Jade (7 anos), acredita que as vacinas são nocivas para suas filhas e optou por não realizar a imunização das crianças, conforme previsto no calendário nacional de vacional. Após saber que a escola das suas filhas reportou ao Conselho Tutelar que Lara e Jade não foram vacinadas, Lucas procurou a Defensoria Pública para que fosse ajuizada ação alegando o seu direito de não vacinar as filhas. Na situação narrada, a</w:t>
            </w:r>
          </w:p>
          <w:p w:rsidR="00000000" w:rsidDel="00000000" w:rsidP="00000000" w:rsidRDefault="00000000" w:rsidRPr="00000000" w14:paraId="00000567">
            <w:pPr>
              <w:widowControl w:val="0"/>
              <w:spacing w:line="145.9999999999999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orientação adequada deve ser: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legítima a recusa de Lucas em vacinar as filhas, pois se trata do exercício do seu poder parental.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ilegítima a recusa de Lucas em vacinar as filhas, em que pese não existir previsão da obrigatoriedade em diplomas legai.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legítima a recusa de Lucas em vacinar as filhas, em respeito à sua convicção filosófica.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8F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9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widowControl w:val="0"/>
              <w:spacing w:before="3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ilegítima a recusa de Lucas em vacinar as filhas, pois não se caracteriza violação à liberdade de consciência e de convicção filosófica do</w:t>
            </w:r>
          </w:p>
          <w:p w:rsidR="00000000" w:rsidDel="00000000" w:rsidP="00000000" w:rsidRDefault="00000000" w:rsidRPr="00000000" w14:paraId="00000592">
            <w:pPr>
              <w:widowControl w:val="0"/>
              <w:spacing w:before="14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pai, nem tampouco ao poder familiar.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widowControl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2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07.0" w:type="dxa"/>
        <w:jc w:val="left"/>
        <w:tblInd w:w="117.0" w:type="dxa"/>
        <w:tblLayout w:type="fixed"/>
        <w:tblLook w:val="0000"/>
      </w:tblPr>
      <w:tblGrid>
        <w:gridCol w:w="485"/>
        <w:gridCol w:w="1459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1459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widowControl w:val="0"/>
              <w:spacing w:before="7" w:line="151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A">
      <w:pPr>
        <w:widowControl w:val="0"/>
        <w:spacing w:after="56" w:line="20" w:lineRule="auto"/>
        <w:ind w:left="101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19.0" w:type="dxa"/>
        <w:jc w:val="left"/>
        <w:tblInd w:w="603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widowControl w:val="0"/>
              <w:spacing w:before="5" w:line="147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frase “ninguém será processado nem sentenciado senão pela autoridade competente” diz respeito ao princípio: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Impessoalidade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B1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B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Juiz Natural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Defensor Natural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Legalidade</w:t>
            </w:r>
          </w:p>
        </w:tc>
      </w:tr>
    </w:tbl>
    <w:p w:rsidR="00000000" w:rsidDel="00000000" w:rsidP="00000000" w:rsidRDefault="00000000" w:rsidRPr="00000000" w14:paraId="000005BA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208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9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9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widowControl w:val="0"/>
              <w:spacing w:before="7" w:line="151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widowControl w:val="0"/>
              <w:spacing w:before="7" w:line="151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widowControl w:val="0"/>
              <w:spacing w:before="7" w:line="151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widowControl w:val="0"/>
              <w:spacing w:before="7" w:line="151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widowControl w:val="0"/>
              <w:spacing w:before="7" w:line="151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widowControl w:val="0"/>
              <w:spacing w:before="7" w:line="151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widowControl w:val="0"/>
              <w:spacing w:before="7" w:line="151" w:lineRule="auto"/>
              <w:ind w:left="237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Marcos pretende comprar uma casa de David. Sobre o contrato de compra e venda, assinale a assertiva correta.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compra e venda, quando pura, considerar-se-á obrigatória e perfeita, desde que Marcos e David registrem o contrato em cartório.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válido o contrato de compra e venda, quando se deixa ao arbítrio exclusivo de uma das partes a fixação do preço.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E1">
            <w:pPr>
              <w:widowControl w:val="0"/>
              <w:spacing w:before="7" w:line="151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E2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Pelo contrato de compra e venda, David se obrigará a transferir o domínio da casa, e Marcos, a pagar-lhe certo preço em dinheiro.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widowControl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widowControl w:val="0"/>
              <w:spacing w:before="7" w:line="151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widowControl w:val="0"/>
              <w:spacing w:before="3" w:line="155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É ilícito às partes fixar o preço em função de índices ou parâmetros, desde que suscetíveis de objetiva determinação.</w:t>
            </w:r>
          </w:p>
        </w:tc>
      </w:tr>
    </w:tbl>
    <w:p w:rsidR="00000000" w:rsidDel="00000000" w:rsidP="00000000" w:rsidRDefault="00000000" w:rsidRPr="00000000" w14:paraId="000005F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208.0" w:type="dxa"/>
        <w:jc w:val="left"/>
        <w:tblInd w:w="117.0" w:type="dxa"/>
        <w:tblLayout w:type="fixed"/>
        <w:tblLook w:val="0000"/>
      </w:tblPr>
      <w:tblGrid>
        <w:gridCol w:w="10208"/>
        <w:tblGridChange w:id="0">
          <w:tblGrid>
            <w:gridCol w:w="10208"/>
          </w:tblGrid>
        </w:tblGridChange>
      </w:tblGrid>
      <w:tr>
        <w:trPr>
          <w:cantSplit w:val="0"/>
          <w:trHeight w:val="239.67309570312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5F5">
            <w:pPr>
              <w:widowControl w:val="0"/>
              <w:spacing w:after="0" w:before="0" w:line="240" w:lineRule="auto"/>
              <w:ind w:left="54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Prova - Graduação (Arquitetura)</w:t>
            </w:r>
          </w:p>
        </w:tc>
      </w:tr>
    </w:tbl>
    <w:p w:rsidR="00000000" w:rsidDel="00000000" w:rsidP="00000000" w:rsidRDefault="00000000" w:rsidRPr="00000000" w14:paraId="000005F6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1 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ANULADA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As curvas de nível existentes e projetadas contidas em um projeto de uma indústria a ser aprovado pelo órgão público competente deve estar contido na</w:t>
            </w:r>
          </w:p>
          <w:p w:rsidR="00000000" w:rsidDel="00000000" w:rsidP="00000000" w:rsidRDefault="00000000" w:rsidRPr="00000000" w14:paraId="0000060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Planta de: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Edificação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Implantação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Locação</w:t>
            </w:r>
          </w:p>
        </w:tc>
      </w:tr>
    </w:tbl>
    <w:p w:rsidR="00000000" w:rsidDel="00000000" w:rsidP="00000000" w:rsidRDefault="00000000" w:rsidRPr="00000000" w14:paraId="0000062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6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widowControl w:val="0"/>
              <w:spacing w:after="0" w:before="0" w:line="240" w:lineRule="auto"/>
              <w:ind w:left="54" w:right="14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NR 18 preconiza que as instalações sanitárias devem ser constituídas de pelo menos lavatório, vaso sanitário, mictório e chuveiro, em quantidades proporcionais ao número de operários. Para um canteiro de obras em que trabalham 100 colaboradores, assinale a alternativa que indica corretamente a</w:t>
            </w:r>
          </w:p>
          <w:p w:rsidR="00000000" w:rsidDel="00000000" w:rsidP="00000000" w:rsidRDefault="00000000" w:rsidRPr="00000000" w14:paraId="0000063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quantidade mínima para dois desses elementos: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44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45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 lavatórios e 10 chuveiros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 vasos sanitários e 5 chuveiros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7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8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 lavatórios e 5 chuveiros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 vasos sanitários e 10 lavatórios</w:t>
            </w:r>
          </w:p>
        </w:tc>
      </w:tr>
    </w:tbl>
    <w:p w:rsidR="00000000" w:rsidDel="00000000" w:rsidP="00000000" w:rsidRDefault="00000000" w:rsidRPr="00000000" w14:paraId="00000667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 acordo com a NBR-9050 — Acessibilidade a edificações, mobiliário, espaços e equipamentos urbanos — as portas de giro, de correr, sanfonadas ou</w:t>
            </w:r>
          </w:p>
          <w:p w:rsidR="00000000" w:rsidDel="00000000" w:rsidP="00000000" w:rsidRDefault="00000000" w:rsidRPr="00000000" w14:paraId="0000067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articuladas, quando abertas, devem ter um vão livre, de no mínimo: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0,90 m de largura por 2,10 m de altura.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85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8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0,80 m de largura por 2,10 m de altura.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1,00 m de largura por 2,10 m de altura.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0,70 m de largura por 2,10 m de altura.</w:t>
            </w:r>
          </w:p>
        </w:tc>
      </w:tr>
    </w:tbl>
    <w:p w:rsidR="00000000" w:rsidDel="00000000" w:rsidP="00000000" w:rsidRDefault="00000000" w:rsidRPr="00000000" w14:paraId="0000069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1458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1458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8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361950</wp:posOffset>
                  </wp:positionV>
                  <wp:extent cx="2042160" cy="2183765"/>
                  <wp:effectExtent b="0" l="0" r="0" t="0"/>
                  <wp:wrapSquare wrapText="bothSides" distB="0" distT="0" distL="0" distR="0"/>
                  <wp:docPr id="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2183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widowControl w:val="0"/>
              <w:spacing w:after="0" w:before="0" w:line="240" w:lineRule="auto"/>
              <w:ind w:left="0" w:right="392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Considerando os croquis de partidos arquitetônicos e construtivos mostrados nas figuras I e II precedentes e a frase “Arquiteto não rabisca, arquiteto risca.”, de Lucio Costa, julgue os itens seguintes, como CERTO( C) ou ERRADO (E) e marque a alternativa correta.</w:t>
            </w:r>
          </w:p>
        </w:tc>
      </w:tr>
    </w:tbl>
    <w:p w:rsidR="00000000" w:rsidDel="00000000" w:rsidP="00000000" w:rsidRDefault="00000000" w:rsidRPr="00000000" w14:paraId="000006AE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4"/>
          <w:szCs w:val="14"/>
        </w:rPr>
        <w:sectPr>
          <w:headerReference r:id="rId9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5080" distT="5080" distL="5080" distR="5080" hidden="0" layoutInCell="1" locked="0" relativeHeight="0" simplePos="0">
                <wp:simplePos x="0" y="0"/>
                <wp:positionH relativeFrom="column">
                  <wp:posOffset>68580</wp:posOffset>
                </wp:positionH>
                <wp:positionV relativeFrom="paragraph">
                  <wp:posOffset>119380</wp:posOffset>
                </wp:positionV>
                <wp:extent cx="6480810" cy="12700"/>
                <wp:effectExtent b="0" l="0" r="0" t="0"/>
                <wp:wrapTopAndBottom distB="5080" distT="508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6000" y="3780000"/>
                          <a:ext cx="6480000" cy="0"/>
                        </a:xfrm>
                        <a:prstGeom prst="straightConnector1">
                          <a:avLst/>
                        </a:prstGeom>
                        <a:noFill/>
                        <a:ln cap="flat" cmpd="sng" w="108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080" distT="5080" distL="5080" distR="5080" hidden="0" layoutInCell="1" locked="0" relativeHeight="0" simplePos="0">
                <wp:simplePos x="0" y="0"/>
                <wp:positionH relativeFrom="column">
                  <wp:posOffset>68580</wp:posOffset>
                </wp:positionH>
                <wp:positionV relativeFrom="paragraph">
                  <wp:posOffset>119380</wp:posOffset>
                </wp:positionV>
                <wp:extent cx="6480810" cy="12700"/>
                <wp:effectExtent b="0" l="0" r="0" t="0"/>
                <wp:wrapTopAndBottom distB="5080" distT="508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B3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widowControl w:val="0"/>
        <w:spacing w:after="0" w:before="0" w:line="240" w:lineRule="auto"/>
        <w:ind w:left="101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mc:AlternateContent>
          <mc:Choice Requires="wpg">
            <w:drawing>
              <wp:inline distB="0" distT="0" distL="114300" distR="114300">
                <wp:extent cx="6480810" cy="63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06000" y="3780000"/>
                          <a:ext cx="6480810" cy="635"/>
                          <a:chOff x="2106000" y="3780000"/>
                          <a:chExt cx="6480000" cy="720"/>
                        </a:xfrm>
                      </wpg:grpSpPr>
                      <wpg:grpSp>
                        <wpg:cNvGrpSpPr/>
                        <wpg:grpSpPr>
                          <a:xfrm>
                            <a:off x="2106000" y="3780000"/>
                            <a:ext cx="6480000" cy="720"/>
                            <a:chOff x="0" y="-720"/>
                            <a:chExt cx="6480000" cy="72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-720"/>
                              <a:ext cx="648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48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80810" cy="635"/>
                <wp:effectExtent b="0" l="0" r="0" t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0" cy="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9"/>
        <w:tblW w:w="9719.0" w:type="dxa"/>
        <w:jc w:val="left"/>
        <w:tblInd w:w="603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widowControl w:val="0"/>
              <w:spacing w:after="0" w:before="0" w:line="240" w:lineRule="auto"/>
              <w:ind w:right="314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C ) A figura I trata de um partido de níveis com quatro pavimentos mais o térreo em um corte típico, incluindo um destaque da parte atípica das lajes. ( E ) A figura II trata do partido estrutural com o emprego de treliças em uma edificação, com o destaque de um apoio descentralizado e um balanço à direita da imagem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B8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B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C,C</w:t>
            </w:r>
          </w:p>
        </w:tc>
      </w:tr>
    </w:tbl>
    <w:p w:rsidR="00000000" w:rsidDel="00000000" w:rsidP="00000000" w:rsidRDefault="00000000" w:rsidRPr="00000000" w14:paraId="000006C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Em busca de conferir maior conforto aos usuários, as medidas do corpo humano devem ser consideradas nas edificações. Nesse sentido, considerando o</w:t>
            </w:r>
          </w:p>
          <w:p w:rsidR="00000000" w:rsidDel="00000000" w:rsidP="00000000" w:rsidRDefault="00000000" w:rsidRPr="00000000" w14:paraId="000006D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padrão brasileiro, julgue o item subseqüente. Qual deve ser a altura de uma bancada de banheiro e/ou pia de cozinha?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D9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DA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80cm a 90cm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70cm a 80cm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95cm a 100cm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70cm a 75cm</w:t>
            </w:r>
          </w:p>
        </w:tc>
      </w:tr>
    </w:tbl>
    <w:p w:rsidR="00000000" w:rsidDel="00000000" w:rsidP="00000000" w:rsidRDefault="00000000" w:rsidRPr="00000000" w14:paraId="000006FC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Respeitando a fórmula de Blondel, se uma escada deve vencer o vão de 3,15m e tem 18 degraus, quais poderiam ser as medidas do piso e do espelho,</w:t>
            </w:r>
          </w:p>
          <w:p w:rsidR="00000000" w:rsidDel="00000000" w:rsidP="00000000" w:rsidRDefault="00000000" w:rsidRPr="00000000" w14:paraId="00000708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respectivamente?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30cm e 18cm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1A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1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28cm e 17,5cm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29cm e 18cm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31cm e 17,5cm</w:t>
            </w:r>
          </w:p>
        </w:tc>
      </w:tr>
    </w:tbl>
    <w:p w:rsidR="00000000" w:rsidDel="00000000" w:rsidP="00000000" w:rsidRDefault="00000000" w:rsidRPr="00000000" w14:paraId="0000073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Conforme a norma NBR 6492, na fase de anteprojeto, NÃO faz parte do conjunto de conteúdos mínimos necessários da planta de situação: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indicação das áreas a serem edificadas.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51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5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eixos do projeto.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indicação do Norte.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curvas de nível existentes e projetadas, além de eventual sistema de coordenadas referenciais.</w:t>
            </w:r>
          </w:p>
        </w:tc>
      </w:tr>
    </w:tbl>
    <w:p w:rsidR="00000000" w:rsidDel="00000000" w:rsidP="00000000" w:rsidRDefault="00000000" w:rsidRPr="00000000" w14:paraId="0000076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Sobre planta baixa, é INCORRETO afirmar que: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mostra a configuração das paredes, a forma e as dimensões dos espaços, as portas e janelas.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88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8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mostra as divisas legais do lote e a topografia do terreno.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plano de corte horizontal que a origina costuma ser feito a uma altura aproximada de 1,20m a 1,50m acima do piso.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serve de base para a execução dos cortes e fachadas.</w:t>
            </w:r>
          </w:p>
        </w:tc>
      </w:tr>
    </w:tbl>
    <w:p w:rsidR="00000000" w:rsidDel="00000000" w:rsidP="00000000" w:rsidRDefault="00000000" w:rsidRPr="00000000" w14:paraId="000007A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  <w:sectPr>
          <w:type w:val="nextPage"/>
          <w:pgSz w:h="16834" w:w="11909" w:orient="portrait"/>
          <w:pgMar w:bottom="460" w:top="1400" w:left="740" w:right="740" w:header="283" w:footer="2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widowControl w:val="0"/>
              <w:spacing w:after="0" w:before="0" w:line="240" w:lineRule="auto"/>
              <w:ind w:left="2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8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A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C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widowControl w:val="0"/>
              <w:spacing w:after="0" w:before="0" w:line="240" w:lineRule="auto"/>
              <w:ind w:left="54" w:right="212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Julgue os próximos itens, a respeito de sistemas estruturais, CERTO( C) ou ERRADO (E) e marque a alternativa correta. ( E ) Entre os diferentes tipos existentes de laje de concreto, as lajes cogumelo se destacam pela hierarquia estrutural.</w:t>
            </w:r>
          </w:p>
          <w:p w:rsidR="00000000" w:rsidDel="00000000" w:rsidP="00000000" w:rsidRDefault="00000000" w:rsidRPr="00000000" w14:paraId="000007A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E ) Um telhado tradicional com telhas-francesas de barro e estrutura de madeira apresenta uma hierarquia estrutural formada por tesouras (hierarquia</w:t>
            </w:r>
          </w:p>
          <w:p w:rsidR="00000000" w:rsidDel="00000000" w:rsidP="00000000" w:rsidRDefault="00000000" w:rsidRPr="00000000" w14:paraId="000007B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1), terças (hierarquia 2) e ripas (hierarquia 3); somente a vedação, formada pelas telhas-francesas, está excluída dessa classificação.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B9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BA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E,C</w:t>
            </w:r>
          </w:p>
        </w:tc>
      </w:tr>
    </w:tbl>
    <w:p w:rsidR="00000000" w:rsidDel="00000000" w:rsidP="00000000" w:rsidRDefault="00000000" w:rsidRPr="00000000" w14:paraId="000007DC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Relacione as colunas de acordo com a sua definição de software, e em seguida assinale a alternativa que cuja sequência esteja correta:</w:t>
            </w:r>
          </w:p>
          <w:p w:rsidR="00000000" w:rsidDel="00000000" w:rsidP="00000000" w:rsidRDefault="00000000" w:rsidRPr="00000000" w14:paraId="000007E8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before="0" w:line="240" w:lineRule="auto"/>
              <w:ind w:left="210" w:hanging="1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AutoCAD</w:t>
            </w:r>
          </w:p>
          <w:p w:rsidR="00000000" w:rsidDel="00000000" w:rsidP="00000000" w:rsidRDefault="00000000" w:rsidRPr="00000000" w14:paraId="000007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before="0" w:line="240" w:lineRule="auto"/>
              <w:ind w:left="210" w:hanging="1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Sketchup</w:t>
            </w:r>
          </w:p>
          <w:p w:rsidR="00000000" w:rsidDel="00000000" w:rsidP="00000000" w:rsidRDefault="00000000" w:rsidRPr="00000000" w14:paraId="000007EA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before="0" w:line="240" w:lineRule="auto"/>
              <w:ind w:left="210" w:hanging="1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Revit</w:t>
            </w:r>
          </w:p>
          <w:p w:rsidR="00000000" w:rsidDel="00000000" w:rsidP="00000000" w:rsidRDefault="00000000" w:rsidRPr="00000000" w14:paraId="000007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before="0" w:line="240" w:lineRule="auto"/>
              <w:ind w:left="210" w:hanging="1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 Studio Max</w:t>
            </w:r>
          </w:p>
          <w:p w:rsidR="00000000" w:rsidDel="00000000" w:rsidP="00000000" w:rsidRDefault="00000000" w:rsidRPr="00000000" w14:paraId="000007E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) Software que oferece suporte multidisciplinar facilitando o trabalho em equipe, melhorando a interação entre uma parte e outra do projeto.</w:t>
            </w:r>
          </w:p>
          <w:p w:rsidR="00000000" w:rsidDel="00000000" w:rsidP="00000000" w:rsidRDefault="00000000" w:rsidRPr="00000000" w14:paraId="000007EF">
            <w:pPr>
              <w:widowControl w:val="0"/>
              <w:spacing w:after="0" w:before="0" w:line="240" w:lineRule="auto"/>
              <w:ind w:left="54" w:right="61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) Ferramenta bastante intuitiva se comparada com outros softwares do mesmo propósito, permite a criação de maquetes em 3D com detalhes e precisão, facilitando a visualização das etapas do projeto.</w:t>
            </w:r>
          </w:p>
          <w:p w:rsidR="00000000" w:rsidDel="00000000" w:rsidP="00000000" w:rsidRDefault="00000000" w:rsidRPr="00000000" w14:paraId="000007F0">
            <w:pPr>
              <w:widowControl w:val="0"/>
              <w:spacing w:after="0" w:before="0" w:line="240" w:lineRule="auto"/>
              <w:ind w:left="54" w:right="21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) Software muito utilizado para o desenvolvimento de projetos, pode ser utilizado na criação de desenhos em 2D, entre seus principais recursos está a possibilidade de criar objetos também em 3D e movimenta-los em diversas posições. Permite explorar a parte interna e externa de um objeto.</w:t>
            </w:r>
          </w:p>
          <w:p w:rsidR="00000000" w:rsidDel="00000000" w:rsidP="00000000" w:rsidRDefault="00000000" w:rsidRPr="00000000" w14:paraId="000007F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) Software utilizado para realizar trabalhos com modelagens 3D, animação, renderização e composição 3D.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2 - 1 - 4 – 3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03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0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3 - 2 - 1 - 4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1 - 2 - 3 - 4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2 - 3 - 4 - 1</w:t>
            </w:r>
          </w:p>
        </w:tc>
      </w:tr>
    </w:tbl>
    <w:p w:rsidR="00000000" w:rsidDel="00000000" w:rsidP="00000000" w:rsidRDefault="00000000" w:rsidRPr="00000000" w14:paraId="0000081D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E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F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1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8">
            <w:pPr>
              <w:widowControl w:val="0"/>
              <w:spacing w:after="0" w:before="0" w:line="240" w:lineRule="auto"/>
              <w:ind w:left="54" w:right="9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Com base no desenho arquitetônico precedente, representativo de uma escada com corrimão, julgue os itens a seguir como CERTO( C) ou ERRADO (E) e marque a alternativa correta.</w:t>
            </w:r>
          </w:p>
          <w:p w:rsidR="00000000" w:rsidDel="00000000" w:rsidP="00000000" w:rsidRDefault="00000000" w:rsidRPr="00000000" w14:paraId="0000082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widowControl w:val="0"/>
              <w:spacing w:after="0" w:before="0" w:line="240" w:lineRule="auto"/>
              <w:ind w:left="34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3088005" cy="2262505"/>
                  <wp:effectExtent b="0" l="0" r="0" t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262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widowControl w:val="0"/>
              <w:spacing w:after="0" w:before="0" w:line="240" w:lineRule="auto"/>
              <w:ind w:left="54" w:right="4945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E ) O desenho trata da vista de uma escada que inclui um corrimão duplo. ( E ) A altura do corrimão em relação ao piso do degrau é de 92 cm.</w:t>
            </w:r>
          </w:p>
          <w:p w:rsidR="00000000" w:rsidDel="00000000" w:rsidP="00000000" w:rsidRDefault="00000000" w:rsidRPr="00000000" w14:paraId="0000082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C ) O comprimento do corrimão não está definido no desenho apresentado.</w:t>
            </w:r>
          </w:p>
          <w:p w:rsidR="00000000" w:rsidDel="00000000" w:rsidP="00000000" w:rsidRDefault="00000000" w:rsidRPr="00000000" w14:paraId="0000082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C ) As cotas do desenho estão em metros, em decímetros e em centímetros.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E,C,C,E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C,E,C,E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C,E,C,C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53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5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E,E,C,C</w:t>
            </w:r>
          </w:p>
        </w:tc>
      </w:tr>
    </w:tbl>
    <w:p w:rsidR="00000000" w:rsidDel="00000000" w:rsidP="00000000" w:rsidRDefault="00000000" w:rsidRPr="00000000" w14:paraId="0000085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1458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1458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Figura e a Tabela abaixo foram extraídas da NBR 9050.</w:t>
            </w:r>
          </w:p>
        </w:tc>
      </w:tr>
    </w:tbl>
    <w:p w:rsidR="00000000" w:rsidDel="00000000" w:rsidP="00000000" w:rsidRDefault="00000000" w:rsidRPr="00000000" w14:paraId="0000086A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  <w:sectPr>
          <w:type w:val="nextPage"/>
          <w:pgSz w:h="16834" w:w="11909" w:orient="portrait"/>
          <w:pgMar w:bottom="460" w:top="1400" w:left="740" w:right="740" w:header="283" w:footer="2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719.0" w:type="dxa"/>
        <w:jc w:val="left"/>
        <w:tblInd w:w="603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7154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widowControl w:val="0"/>
              <w:spacing w:after="0" w:before="0" w:line="240" w:lineRule="auto"/>
              <w:ind w:left="2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4892040" cy="4107180"/>
                  <wp:effectExtent b="0" l="0" r="0" t="0"/>
                  <wp:docPr id="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0" cy="410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widowControl w:val="0"/>
              <w:spacing w:after="0" w:before="0" w:line="240" w:lineRule="auto"/>
              <w:ind w:left="54" w:right="22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Sabendo-se que i é a inclinação da rampa em porcentagem, h é a altura do desnível, e c, o comprimento da rampa em projeção horizontal, qual deverá ser a medida de c, em m, para atender à referida norma, se h = 70 cm?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72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73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8,40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7,35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0,84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9,10</w:t>
            </w:r>
          </w:p>
        </w:tc>
      </w:tr>
    </w:tbl>
    <w:p w:rsidR="00000000" w:rsidDel="00000000" w:rsidP="00000000" w:rsidRDefault="00000000" w:rsidRPr="00000000" w14:paraId="0000087E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1458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1458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13 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0">
            <w:pPr>
              <w:widowControl w:val="0"/>
              <w:spacing w:after="0" w:before="0" w:line="240" w:lineRule="auto"/>
              <w:ind w:left="472" w:right="467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ANULADA</w:t>
            </w:r>
          </w:p>
        </w:tc>
      </w:tr>
      <w:tr>
        <w:trPr>
          <w:cantSplit w:val="0"/>
          <w:trHeight w:val="5309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widowControl w:val="0"/>
              <w:spacing w:after="0" w:before="0" w:line="240" w:lineRule="auto"/>
              <w:ind w:left="54" w:right="260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De acordo com a norma ABNT 9050, que trata de acessibilidade universal, a sinalização tátil e visual no piso deve ser de alerta e direcional. A respeito desse assunto e considerando a figura precedente, julgue os próximos itens como CERTO( C) ou ERRADO (E) e marque a alternativa correta.</w:t>
            </w:r>
          </w:p>
          <w:p w:rsidR="00000000" w:rsidDel="00000000" w:rsidP="00000000" w:rsidRDefault="00000000" w:rsidRPr="00000000" w14:paraId="0000088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widowControl w:val="0"/>
              <w:spacing w:after="0" w:before="0" w:line="240" w:lineRule="auto"/>
              <w:ind w:left="374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</w:rPr>
              <w:drawing>
                <wp:inline distB="0" distT="0" distL="0" distR="0">
                  <wp:extent cx="3088005" cy="2099310"/>
                  <wp:effectExtent b="0" l="0" r="0" t="0"/>
                  <wp:docPr id="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099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widowControl w:val="0"/>
              <w:spacing w:after="0" w:before="0" w:line="240" w:lineRule="auto"/>
              <w:ind w:left="54" w:right="4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( E ) A sinalização tátil no piso, também denominada podotátil, é necessária para que todos os portadores de necessidades especiais tenham maior conforto.</w:t>
            </w:r>
          </w:p>
          <w:p w:rsidR="00000000" w:rsidDel="00000000" w:rsidP="00000000" w:rsidRDefault="00000000" w:rsidRPr="00000000" w14:paraId="0000088D">
            <w:pPr>
              <w:widowControl w:val="0"/>
              <w:spacing w:after="0" w:before="0" w:line="240" w:lineRule="auto"/>
              <w:ind w:left="54" w:right="97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( C ) Os dois tipos de placa de piso para sinalização tátil são: as direcionais, identificadas pelo número 2 na figura em apreço; e as de alerta, identificadas pelo número 1.</w:t>
            </w:r>
          </w:p>
          <w:p w:rsidR="00000000" w:rsidDel="00000000" w:rsidP="00000000" w:rsidRDefault="00000000" w:rsidRPr="00000000" w14:paraId="0000088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( C ) Na figura em questão, o “montante fixado na extremidade do corrimão central” não tem função estrutural; sua finalidade restringe-se a alertar o</w:t>
            </w:r>
          </w:p>
        </w:tc>
      </w:tr>
    </w:tbl>
    <w:p w:rsidR="00000000" w:rsidDel="00000000" w:rsidP="00000000" w:rsidRDefault="00000000" w:rsidRPr="00000000" w14:paraId="0000089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  <w:sectPr>
          <w:type w:val="nextPage"/>
          <w:pgSz w:h="16834" w:w="11909" w:orient="portrait"/>
          <w:pgMar w:bottom="460" w:top="1480" w:left="740" w:right="740" w:header="283" w:footer="2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719.0" w:type="dxa"/>
        <w:jc w:val="left"/>
        <w:tblInd w:w="603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deficiente visual para a existência de um corrimão logo adiante.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E, C, 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C,E,E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9F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A0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E,C,C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3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C, C, E</w:t>
            </w:r>
          </w:p>
        </w:tc>
      </w:tr>
    </w:tbl>
    <w:p w:rsidR="00000000" w:rsidDel="00000000" w:rsidP="00000000" w:rsidRDefault="00000000" w:rsidRPr="00000000" w14:paraId="000008A5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6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B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widowControl w:val="0"/>
              <w:spacing w:after="0" w:before="0" w:line="240" w:lineRule="auto"/>
              <w:ind w:left="54" w:right="175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Uma iluminação deficiente ou inadequada no local de trabalho pode prejudicar a saúde física ou psicológica de um trabalhador, afetar seu rendimento e acabar provocando um acidente de trabalho. De acordo com a NBR 5413, a tabela de níveis de iluminação por tipo de ambiente recomenda que, o setor</w:t>
            </w:r>
          </w:p>
          <w:p w:rsidR="00000000" w:rsidDel="00000000" w:rsidP="00000000" w:rsidRDefault="00000000" w:rsidRPr="00000000" w14:paraId="000008B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 atendimento ao público de um banco, por exemplo, tenha uma luminância (lux) entre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 e 250.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acima de 1.000.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250 e 500.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D5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8D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 e 750.</w:t>
            </w:r>
          </w:p>
        </w:tc>
      </w:tr>
    </w:tbl>
    <w:p w:rsidR="00000000" w:rsidDel="00000000" w:rsidP="00000000" w:rsidRDefault="00000000" w:rsidRPr="00000000" w14:paraId="000008DD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E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9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Sabendo que a inclinação da telha é de 30% e que o beiral é de 80cm, qual deverá ser a altura (em centímetro) da cumeeira do telhado abaixo?</w:t>
            </w:r>
          </w:p>
          <w:p w:rsidR="00000000" w:rsidDel="00000000" w:rsidP="00000000" w:rsidRDefault="00000000" w:rsidRPr="00000000" w14:paraId="000008E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widowControl w:val="0"/>
              <w:spacing w:after="0" w:before="0" w:line="240" w:lineRule="auto"/>
              <w:ind w:left="13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2945765" cy="205867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765" cy="2058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F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126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8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9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10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11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186</w:t>
            </w:r>
          </w:p>
        </w:tc>
      </w:tr>
    </w:tbl>
    <w:p w:rsidR="00000000" w:rsidDel="00000000" w:rsidP="00000000" w:rsidRDefault="00000000" w:rsidRPr="00000000" w14:paraId="00000918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D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E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 acordo com a NBR 6492, que trata da representação de projetos de arquitetura, NÃO é um documento típico do Anteprojeto: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plantas, cortes e fachadas.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35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36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estimativa de custo.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memorial justificativo, abrangendo aspectos construtivos.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documentos para aprovação em órgãos públicos.</w:t>
            </w:r>
          </w:p>
        </w:tc>
      </w:tr>
    </w:tbl>
    <w:p w:rsidR="00000000" w:rsidDel="00000000" w:rsidP="00000000" w:rsidRDefault="00000000" w:rsidRPr="00000000" w14:paraId="0000094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1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4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5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6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7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8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A">
            <w:pPr>
              <w:widowControl w:val="0"/>
              <w:spacing w:after="0" w:before="0" w:line="240" w:lineRule="auto"/>
              <w:ind w:left="54" w:right="6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Julgue os próximos itens, relativos a atividades técnicas de projeto de arquitetura e engenharia exigíveis para a construção de edificações, como CERTO( C) ou ERRADO (E) e marque a alternativa correta.</w:t>
            </w:r>
          </w:p>
          <w:p w:rsidR="00000000" w:rsidDel="00000000" w:rsidP="00000000" w:rsidRDefault="00000000" w:rsidRPr="00000000" w14:paraId="0000095B">
            <w:pPr>
              <w:widowControl w:val="0"/>
              <w:spacing w:after="0" w:before="0" w:line="240" w:lineRule="auto"/>
              <w:ind w:left="54" w:right="26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E ) Para a aprovação em órgãos oficiais, a planta de locação é parte integrante do projeto básico de arquitetura e deve conter informações completas sobre a localização do terreno.</w:t>
            </w:r>
          </w:p>
          <w:p w:rsidR="00000000" w:rsidDel="00000000" w:rsidP="00000000" w:rsidRDefault="00000000" w:rsidRPr="00000000" w14:paraId="0000095C">
            <w:pPr>
              <w:widowControl w:val="0"/>
              <w:spacing w:after="0" w:before="0" w:line="240" w:lineRule="auto"/>
              <w:ind w:left="54" w:right="135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C ) A etapa de anteprojeto corresponde à fase na qual se deve receber aprovação final do cliente e dos órgãos oficiais envolvidos a fim de possibilitar a contratação da obra.</w:t>
            </w:r>
          </w:p>
          <w:p w:rsidR="00000000" w:rsidDel="00000000" w:rsidP="00000000" w:rsidRDefault="00000000" w:rsidRPr="00000000" w14:paraId="0000095D">
            <w:pPr>
              <w:widowControl w:val="0"/>
              <w:spacing w:after="0" w:before="0" w:line="240" w:lineRule="auto"/>
              <w:ind w:left="54" w:right="416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E ) O estudo preliminar de um projeto antecede o programa de necessidades e constitui a análise de risco, na qual são considerados os elementos técnicos, como os estudos de viabilidade econômico-financeira, viabilidade comercial e viabilidade ambiental.</w:t>
            </w:r>
          </w:p>
          <w:p w:rsidR="00000000" w:rsidDel="00000000" w:rsidP="00000000" w:rsidRDefault="00000000" w:rsidRPr="00000000" w14:paraId="0000095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C ) O programa de necessidades, a ser elaborado pelo arquiteto em conjunto com o cliente, consiste na determinação das exigências de caráter</w:t>
            </w:r>
          </w:p>
          <w:p w:rsidR="00000000" w:rsidDel="00000000" w:rsidP="00000000" w:rsidRDefault="00000000" w:rsidRPr="00000000" w14:paraId="0000095F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prescritivo a serem satisfeitas pela edificação a ser concebida.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68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6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E,C,E,C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E,C,E,E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C,E,C,E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4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5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C,C,E,C</w:t>
            </w:r>
          </w:p>
        </w:tc>
      </w:tr>
    </w:tbl>
    <w:p w:rsidR="00000000" w:rsidDel="00000000" w:rsidP="00000000" w:rsidRDefault="00000000" w:rsidRPr="00000000" w14:paraId="0000098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6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486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C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D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0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1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2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3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4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Em um projeto de acessibilidade, as dimensões mínimas (largura e comprimento) da área para manobra de cadeiras de rodas com deslocamento de</w:t>
            </w:r>
          </w:p>
          <w:p w:rsidR="00000000" w:rsidDel="00000000" w:rsidP="00000000" w:rsidRDefault="00000000" w:rsidRPr="00000000" w14:paraId="0000099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180°, devem ser: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1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2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1,60 m x 1,80 m.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A9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AA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1,50 m x 1,90 m.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3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4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1,60 m x 2,00 m.</w:t>
            </w:r>
          </w:p>
        </w:tc>
      </w:tr>
    </w:tbl>
    <w:p w:rsidR="00000000" w:rsidDel="00000000" w:rsidP="00000000" w:rsidRDefault="00000000" w:rsidRPr="00000000" w14:paraId="000009BA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  <w:sectPr>
          <w:type w:val="nextPage"/>
          <w:pgSz w:h="16834" w:w="11909" w:orient="portrait"/>
          <w:pgMar w:bottom="460" w:top="1480" w:left="740" w:right="740" w:header="283" w:footer="2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719.0" w:type="dxa"/>
        <w:jc w:val="left"/>
        <w:tblInd w:w="603.0" w:type="dxa"/>
        <w:tblLayout w:type="fixed"/>
        <w:tblLook w:val="0000"/>
      </w:tblPr>
      <w:tblGrid>
        <w:gridCol w:w="485"/>
        <w:gridCol w:w="486"/>
        <w:gridCol w:w="8748"/>
        <w:tblGridChange w:id="0">
          <w:tblGrid>
            <w:gridCol w:w="485"/>
            <w:gridCol w:w="486"/>
            <w:gridCol w:w="874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D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E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1,50 m x 1,80 m.</w:t>
            </w:r>
          </w:p>
        </w:tc>
      </w:tr>
    </w:tbl>
    <w:p w:rsidR="00000000" w:rsidDel="00000000" w:rsidP="00000000" w:rsidRDefault="00000000" w:rsidRPr="00000000" w14:paraId="000009B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1"/>
        <w:gridCol w:w="485"/>
        <w:gridCol w:w="1459"/>
        <w:gridCol w:w="1943"/>
        <w:gridCol w:w="1944"/>
        <w:gridCol w:w="1460"/>
        <w:gridCol w:w="1458"/>
        <w:tblGridChange w:id="0">
          <w:tblGrid>
            <w:gridCol w:w="485"/>
            <w:gridCol w:w="486"/>
            <w:gridCol w:w="486"/>
            <w:gridCol w:w="1"/>
            <w:gridCol w:w="485"/>
            <w:gridCol w:w="1459"/>
            <w:gridCol w:w="1943"/>
            <w:gridCol w:w="1944"/>
            <w:gridCol w:w="1460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0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 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1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5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6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7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8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9">
            <w:pPr>
              <w:widowControl w:val="0"/>
              <w:spacing w:after="0" w:before="0" w:line="240" w:lineRule="auto"/>
              <w:ind w:left="237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correto dimensionamento dos espaços e do mobiliário em edifícios públicos é tarefa importante para assegurar o conforto ergonômico e permitir a</w:t>
            </w:r>
          </w:p>
          <w:p w:rsidR="00000000" w:rsidDel="00000000" w:rsidP="00000000" w:rsidRDefault="00000000" w:rsidRPr="00000000" w14:paraId="000009C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mobilidade de todas as pessoas. Em relação a esse tema, assinale a alternativa correta: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D6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9D7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8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espaço necessário de rotação para usuários de cadeiras de rodas é de 1,50 m, para um giro completo de 360º.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1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2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o dimensionamento de um estacionamento, deve-se adotar o parâmetro de 15 m² por veículo, procurando minimizar o espaço de</w:t>
            </w:r>
          </w:p>
          <w:p w:rsidR="00000000" w:rsidDel="00000000" w:rsidP="00000000" w:rsidRDefault="00000000" w:rsidRPr="00000000" w14:paraId="000009E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manobra e de parada, considerando 30% de vagas para veículos populares.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9E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9F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5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O espaço mínimo entre uma mesa de trabalho e outra deve ser de 60 cm, permitindo-se o uso de estações de trabalho para maximizar os</w:t>
            </w:r>
          </w:p>
          <w:p w:rsidR="00000000" w:rsidDel="00000000" w:rsidP="00000000" w:rsidRDefault="00000000" w:rsidRPr="00000000" w14:paraId="000009F7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espaços de escritórios.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9F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A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Em ambientes públicos de grande tráfego de pessoas, as escadas de ligação entre um pavimento devem ter largura mínima de 1,20 m</w:t>
            </w:r>
          </w:p>
          <w:p w:rsidR="00000000" w:rsidDel="00000000" w:rsidP="00000000" w:rsidRDefault="00000000" w:rsidRPr="00000000" w14:paraId="00000A0B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para facilitar a circulação e evitar congestionamentos.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A1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207.0" w:type="dxa"/>
        <w:jc w:val="left"/>
        <w:tblInd w:w="120.0" w:type="dxa"/>
        <w:tblLayout w:type="fixed"/>
        <w:tblLook w:val="0000"/>
      </w:tblPr>
      <w:tblGrid>
        <w:gridCol w:w="485"/>
        <w:gridCol w:w="486"/>
        <w:gridCol w:w="486"/>
        <w:gridCol w:w="487"/>
        <w:gridCol w:w="1458"/>
        <w:gridCol w:w="1944"/>
        <w:gridCol w:w="1945"/>
        <w:gridCol w:w="1458"/>
        <w:gridCol w:w="1458"/>
        <w:tblGridChange w:id="0">
          <w:tblGrid>
            <w:gridCol w:w="485"/>
            <w:gridCol w:w="486"/>
            <w:gridCol w:w="486"/>
            <w:gridCol w:w="487"/>
            <w:gridCol w:w="1458"/>
            <w:gridCol w:w="1944"/>
            <w:gridCol w:w="1945"/>
            <w:gridCol w:w="1458"/>
            <w:gridCol w:w="1458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C">
            <w:pPr>
              <w:widowControl w:val="0"/>
              <w:spacing w:after="0" w:before="0" w:line="240" w:lineRule="auto"/>
              <w:ind w:left="139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 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D">
            <w:pPr>
              <w:widowControl w:val="0"/>
              <w:spacing w:after="0" w:before="0" w:line="240" w:lineRule="auto"/>
              <w:ind w:left="472" w:right="467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0">
            <w:pPr>
              <w:widowControl w:val="0"/>
              <w:spacing w:after="0" w:before="0" w:line="240" w:lineRule="auto"/>
              <w:ind w:left="18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1">
            <w:pPr>
              <w:widowControl w:val="0"/>
              <w:spacing w:after="0" w:before="0" w:line="240" w:lineRule="auto"/>
              <w:ind w:left="675" w:right="672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2">
            <w:pPr>
              <w:widowControl w:val="0"/>
              <w:spacing w:after="0" w:before="0" w:line="240" w:lineRule="auto"/>
              <w:ind w:left="675" w:right="67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3">
            <w:pPr>
              <w:widowControl w:val="0"/>
              <w:spacing w:after="0" w:before="0" w:line="240" w:lineRule="auto"/>
              <w:ind w:left="469" w:right="468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4">
            <w:pPr>
              <w:widowControl w:val="0"/>
              <w:spacing w:after="0" w:before="0" w:line="240" w:lineRule="auto"/>
              <w:ind w:left="198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6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As alternativas a seguir apresentam documentos opcionais e complementares aos documentos gráficos de um projeto executivo arquitetônico, EXCETO: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0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1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Maquetes construídas em escala ou eletrônicas (interior ou exterior).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9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A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Fotografias e montagens.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2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3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Recursos audiovisuais.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A4A">
            <w:pPr>
              <w:widowControl w:val="0"/>
              <w:spacing w:after="0" w:before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A4B">
            <w:pPr>
              <w:widowControl w:val="0"/>
              <w:spacing w:after="0" w:before="0" w:line="240" w:lineRule="auto"/>
              <w:ind w:left="201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C">
            <w:pPr>
              <w:widowControl w:val="0"/>
              <w:spacing w:after="0" w:before="0" w:line="240" w:lineRule="auto"/>
              <w:ind w:left="54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Elevações de ambientes especiais (áreas molhadas e oficinas).</w:t>
            </w:r>
          </w:p>
        </w:tc>
      </w:tr>
    </w:tbl>
    <w:p w:rsidR="00000000" w:rsidDel="00000000" w:rsidP="00000000" w:rsidRDefault="00000000" w:rsidRPr="00000000" w14:paraId="00000A5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  <w:sectPr>
          <w:type w:val="nextPage"/>
          <w:pgSz w:h="16834" w:w="11909" w:orient="portrait"/>
          <w:pgMar w:bottom="460" w:top="1480" w:left="740" w:right="740" w:header="283" w:footer="27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II</w:t>
      </w:r>
    </w:p>
    <w:p w:rsidR="00000000" w:rsidDel="00000000" w:rsidP="00000000" w:rsidRDefault="00000000" w:rsidRPr="00000000" w14:paraId="00000A7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RECURSOS DEFERIDOS/INDEFERIDOS</w:t>
      </w:r>
    </w:p>
    <w:p w:rsidR="00000000" w:rsidDel="00000000" w:rsidP="00000000" w:rsidRDefault="00000000" w:rsidRPr="00000000" w14:paraId="00000A8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DIREITO GRADUAÇÃO</w:t>
      </w:r>
    </w:p>
    <w:p w:rsidR="00000000" w:rsidDel="00000000" w:rsidP="00000000" w:rsidRDefault="00000000" w:rsidRPr="00000000" w14:paraId="00000A8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29.0" w:type="dxa"/>
        <w:jc w:val="left"/>
        <w:tblInd w:w="40.0" w:type="pct"/>
        <w:tblLayout w:type="fixed"/>
        <w:tblLook w:val="0600"/>
      </w:tblPr>
      <w:tblGrid>
        <w:gridCol w:w="855"/>
        <w:gridCol w:w="2520"/>
        <w:gridCol w:w="5654"/>
        <w:tblGridChange w:id="0">
          <w:tblGrid>
            <w:gridCol w:w="855"/>
            <w:gridCol w:w="2520"/>
            <w:gridCol w:w="56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21358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Juliana Kelly da Silva Ferreira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21267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Ludmilla Andressa da Silva Barbosa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INDEFERIDO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20651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Letícia Santos Calixto Oliveira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INDEFERIDO</w:t>
            </w:r>
          </w:p>
          <w:p w:rsidR="00000000" w:rsidDel="00000000" w:rsidP="00000000" w:rsidRDefault="00000000" w:rsidRPr="00000000" w14:paraId="00000A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21620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Wilson de Carvalho Rosa Filho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DEFERIDO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21090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Aline Costa Correa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DEFERIDO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20693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Maendra Barros de Araújo Cruz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PARCIALMENTE DEFERIDO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21382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Luanna Nogueira Berthier da Silva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DEFERIDO</w:t>
            </w:r>
          </w:p>
        </w:tc>
      </w:tr>
    </w:tbl>
    <w:p w:rsidR="00000000" w:rsidDel="00000000" w:rsidP="00000000" w:rsidRDefault="00000000" w:rsidRPr="00000000" w14:paraId="00000A9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ANEXO III</w:t>
      </w:r>
    </w:p>
    <w:p w:rsidR="00000000" w:rsidDel="00000000" w:rsidP="00000000" w:rsidRDefault="00000000" w:rsidRPr="00000000" w14:paraId="00000AB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ESPELHO DE CORREÇÃO QUESTÃO DISSERTATIVA</w:t>
      </w:r>
    </w:p>
    <w:p w:rsidR="00000000" w:rsidDel="00000000" w:rsidP="00000000" w:rsidRDefault="00000000" w:rsidRPr="00000000" w14:paraId="00000AB8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DIREITO GRADUAÇÃO</w:t>
      </w:r>
    </w:p>
    <w:p w:rsidR="00000000" w:rsidDel="00000000" w:rsidP="00000000" w:rsidRDefault="00000000" w:rsidRPr="00000000" w14:paraId="00000ABA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Enunciado da questão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: A defesa dos direitos da população LGBT+ consiste em uma das importantes áreas de atuação da Defensoria Pública. Discorra sobre o direito ao nome social e o procedimento de alteração de prenome de pessoas maiores de 18 (dezoito) anos no Estado do Maranhão.</w:t>
      </w:r>
    </w:p>
    <w:p w:rsidR="00000000" w:rsidDel="00000000" w:rsidP="00000000" w:rsidRDefault="00000000" w:rsidRPr="00000000" w14:paraId="00000ABC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Espelho de correção:</w:t>
      </w:r>
    </w:p>
    <w:p w:rsidR="00000000" w:rsidDel="00000000" w:rsidP="00000000" w:rsidRDefault="00000000" w:rsidRPr="00000000" w14:paraId="00000ABE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Uso correto do vernáculo, concatenação de ideias, coesão e coerência na escrita.</w:t>
      </w:r>
    </w:p>
    <w:p w:rsidR="00000000" w:rsidDel="00000000" w:rsidP="00000000" w:rsidRDefault="00000000" w:rsidRPr="00000000" w14:paraId="00000AB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Direito ao nome social</w:t>
      </w:r>
    </w:p>
    <w:p w:rsidR="00000000" w:rsidDel="00000000" w:rsidP="00000000" w:rsidRDefault="00000000" w:rsidRPr="00000000" w14:paraId="00000AC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Contextualização</w:t>
      </w:r>
    </w:p>
    <w:p w:rsidR="00000000" w:rsidDel="00000000" w:rsidP="00000000" w:rsidRDefault="00000000" w:rsidRPr="00000000" w14:paraId="00000AC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Legislação aplicável: Convenção Americana de Direitos Humanos (1969), o Protocolo de São Salvador (1988), a Convenção Interamericana contra o Racismo, a Discriminação Racial e Formas correlatas de Intolerância, os Princípios de Yogyakarta (Yogyakarta, 2006),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Constituição Federal,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art. 3º, I, III e IV, Decreto federal nº 8.727/2016, Decreto nº 9.278/2018,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Resolução Nº 270 de 11/12/2018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)</w:t>
      </w:r>
    </w:p>
    <w:p w:rsidR="00000000" w:rsidDel="00000000" w:rsidP="00000000" w:rsidRDefault="00000000" w:rsidRPr="00000000" w14:paraId="00000AC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Procedimento de alteração de prenome de pessoas maiores de 18 (dezoito) anos</w:t>
      </w:r>
    </w:p>
    <w:p w:rsidR="00000000" w:rsidDel="00000000" w:rsidP="00000000" w:rsidRDefault="00000000" w:rsidRPr="00000000" w14:paraId="00000AC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Contextualização</w:t>
      </w:r>
    </w:p>
    <w:p w:rsidR="00000000" w:rsidDel="00000000" w:rsidP="00000000" w:rsidRDefault="00000000" w:rsidRPr="00000000" w14:paraId="00000AC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Legislação aplicável: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Ação Direta de Constitucionalidade 4275,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Provimento Nº 73 de 28/06/2018 do Conselho Nacional de Justiça (CNJ), Provimento nº 30/2021 da Corregedoria Geral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7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C9">
    <w:pPr>
      <w:spacing w:after="160" w:line="259" w:lineRule="auto"/>
      <w:ind w:left="567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616585" cy="447675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CA">
    <w:pPr>
      <w:pBdr>
        <w:bottom w:color="000000" w:space="0" w:sz="6" w:val="single"/>
      </w:pBdr>
      <w:spacing w:after="160" w:line="259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8000"/>
        <w:sz w:val="20"/>
        <w:szCs w:val="20"/>
        <w:rtl w:val="0"/>
      </w:rPr>
      <w:t xml:space="preserve">        Defensoria Pública do Estado do Maranhão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0" w:hanging="156"/>
      </w:pPr>
      <w:rPr>
        <w:rFonts w:ascii="Arial MT" w:cs="Arial MT" w:eastAsia="Arial MT" w:hAnsi="Arial MT"/>
        <w:sz w:val="14"/>
        <w:szCs w:val="14"/>
      </w:rPr>
    </w:lvl>
    <w:lvl w:ilvl="1">
      <w:start w:val="0"/>
      <w:numFmt w:val="bullet"/>
      <w:lvlText w:val="●"/>
      <w:lvlJc w:val="left"/>
      <w:pPr>
        <w:ind w:left="1169" w:hanging="155.999999999999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118" w:hanging="155.99999999999977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67" w:hanging="156.0000000000004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16" w:hanging="156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966" w:hanging="156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915" w:hanging="156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864" w:hanging="156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813" w:hanging="156.0000000000009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71" w:hanging="116.99999999999997"/>
      </w:pPr>
      <w:rPr>
        <w:rFonts w:ascii="Arial MT" w:cs="Arial MT" w:eastAsia="Arial MT" w:hAnsi="Arial MT"/>
        <w:sz w:val="14"/>
        <w:szCs w:val="14"/>
      </w:rPr>
    </w:lvl>
    <w:lvl w:ilvl="1">
      <w:start w:val="0"/>
      <w:numFmt w:val="bullet"/>
      <w:lvlText w:val="●"/>
      <w:lvlJc w:val="left"/>
      <w:pPr>
        <w:ind w:left="1133" w:hanging="117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086" w:hanging="117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39" w:hanging="117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992" w:hanging="117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946" w:hanging="117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899" w:hanging="117.0000000000009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852" w:hanging="117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805" w:hanging="117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.png"/><Relationship Id="rId13" Type="http://schemas.openxmlformats.org/officeDocument/2006/relationships/image" Target="media/image6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4.png"/><Relationship Id="rId14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hyperlink" Target="https://forms.gle/2YckVLofcdSo1YRYA" TargetMode="External"/><Relationship Id="rId7" Type="http://schemas.openxmlformats.org/officeDocument/2006/relationships/image" Target="media/image9.pn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