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9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/>
          <w:bCs/>
          <w:sz w:val="22"/>
          <w:szCs w:val="22"/>
          <w:shd w:fill="FFFFFF" w:val="clear"/>
          <w:lang w:val="pt-BR"/>
        </w:rPr>
        <w:t>LUIS ANSELMO SANTOS FERNANDES</w:t>
      </w:r>
      <w:r>
        <w:rPr>
          <w:rFonts w:ascii="Ecofont Vera Sans" w:hAnsi="Ecofont Vera Sans"/>
          <w:b/>
          <w:bCs/>
          <w:sz w:val="22"/>
          <w:szCs w:val="22"/>
          <w:shd w:fill="FFFFFF" w:val="clear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eastAsia="SimSun" w:cs="Times New Roman" w:ascii="Ecofont Vera Sans" w:hAnsi="Ecofont Vera Sans"/>
          <w:b w:val="false"/>
          <w:bCs w:val="false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 xml:space="preserve">á </w:t>
      </w:r>
      <w:r>
        <w:rPr>
          <w:rFonts w:ascii="Ecofont Vera Sans" w:hAnsi="Ecofont Vera Sans"/>
          <w:sz w:val="22"/>
          <w:szCs w:val="22"/>
        </w:rPr>
        <w:t xml:space="preserve">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14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16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setembr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de 2021: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- Declaração de matrícula emitida pela instituição de ensino, contendo informação sobre a matrícula, o período cursado e a frequência regular, para estudantes de cursos de 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Certidões dos distribuidores criminais das justiças Federal e Estadual ou do Distrito Federal.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ascii="Ecofont Vera Sans" w:hAnsi="Ecofont Vera Sans"/>
          <w:sz w:val="22"/>
          <w:szCs w:val="22"/>
          <w:lang w:val="pt-PT"/>
        </w:rPr>
        <w:t>13</w:t>
      </w:r>
      <w:r>
        <w:rPr>
          <w:rFonts w:ascii="Ecofont Vera Sans" w:hAnsi="Ecofont Vera Sans"/>
          <w:sz w:val="22"/>
          <w:szCs w:val="22"/>
          <w:lang w:val="pt-PT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Setembr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o</w:t>
      </w:r>
      <w:r>
        <w:rPr>
          <w:rFonts w:ascii="Ecofont Vera Sans" w:hAnsi="Ecofont Vera Sans"/>
          <w:sz w:val="22"/>
          <w:szCs w:val="22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LibreOffice/7.1.4.2$Windows_X86_64 LibreOffice_project/a529a4fab45b75fefc5b6226684193eb000654f6</Application>
  <AppVersion>15.0000</AppVersion>
  <Pages>1</Pages>
  <Words>209</Words>
  <Characters>1128</Characters>
  <CharactersWithSpaces>1330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Andrade</dc:creator>
  <dc:description/>
  <dc:language>pt-BR</dc:language>
  <cp:lastModifiedBy/>
  <dcterms:modified xsi:type="dcterms:W3CDTF">2021-09-13T10:13:07Z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